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70"/>
        <w:ind w:firstLine="300"/>
        <w:spacing w:line="360" w:lineRule="auto"/>
        <w:rPr>
          <w:sz w:val="60"/>
          <w:szCs w:val="60"/>
        </w:rPr>
      </w:pPr>
      <w:r>
        <w:rPr>
          <w:sz w:val="60"/>
          <w:szCs w:val="60"/>
        </w:rPr>
      </w:r>
      <w:r/>
    </w:p>
    <w:p>
      <w:pPr>
        <w:pStyle w:val="1070"/>
        <w:jc w:val="center"/>
        <w:rPr>
          <w:b/>
          <w:bCs/>
          <w:sz w:val="60"/>
          <w:szCs w:val="60"/>
        </w:rPr>
      </w:pPr>
      <w:r>
        <w:rPr>
          <w:rFonts w:hint="eastAsia"/>
          <w:b/>
          <w:bCs/>
          <w:sz w:val="60"/>
          <w:szCs w:val="60"/>
          <w:lang w:eastAsia="zh-CN"/>
        </w:rPr>
        <w:t xml:space="preserve">2025年社渚镇环卫综合处理中心运营项目</w:t>
      </w:r>
      <w:r>
        <w:rPr>
          <w:b/>
          <w:bCs/>
          <w:sz w:val="60"/>
          <w:szCs w:val="60"/>
        </w:rPr>
        <w:t xml:space="preserve">竞争性磋商文件</w:t>
      </w:r>
      <w:r>
        <w:rPr>
          <w:b/>
          <w:bCs/>
          <w:sz w:val="60"/>
          <w:szCs w:val="60"/>
        </w:rPr>
      </w:r>
      <w:r/>
    </w:p>
    <w:p>
      <w:pPr>
        <w:pStyle w:val="1070"/>
        <w:jc w:val="center"/>
        <w:spacing w:line="360" w:lineRule="auto"/>
        <w:rPr>
          <w:rFonts w:ascii="宋体" w:hAnsi="宋体"/>
          <w:b/>
          <w:bCs/>
          <w:sz w:val="60"/>
          <w:szCs w:val="60"/>
        </w:rPr>
      </w:pPr>
      <w:r>
        <w:rPr>
          <w:rFonts w:ascii="宋体" w:hAnsi="宋体"/>
          <w:b/>
          <w:bCs/>
          <w:sz w:val="60"/>
          <w:szCs w:val="60"/>
        </w:rPr>
      </w:r>
      <w:r/>
    </w:p>
    <w:p>
      <w:pPr>
        <w:pStyle w:val="1070"/>
        <w:jc w:val="center"/>
        <w:spacing w:line="360" w:lineRule="auto"/>
        <w:rPr>
          <w:rFonts w:ascii="宋体" w:hAnsi="宋体"/>
          <w:b/>
          <w:bCs/>
          <w:sz w:val="60"/>
          <w:szCs w:val="60"/>
        </w:rPr>
      </w:pPr>
      <w:r>
        <w:rPr>
          <w:rFonts w:ascii="宋体" w:hAnsi="宋体"/>
          <w:b/>
          <w:bCs/>
          <w:sz w:val="60"/>
          <w:szCs w:val="60"/>
        </w:rPr>
      </w:r>
      <w:r/>
    </w:p>
    <w:p>
      <w:pPr>
        <w:pStyle w:val="1070"/>
        <w:jc w:val="center"/>
        <w:spacing w:line="360" w:lineRule="auto"/>
        <w:rPr>
          <w:rFonts w:ascii="宋体" w:hAnsi="宋体"/>
          <w:b/>
          <w:bCs/>
          <w:sz w:val="60"/>
          <w:szCs w:val="60"/>
        </w:rPr>
      </w:pPr>
      <w:r>
        <w:rPr>
          <w:rFonts w:ascii="宋体" w:hAnsi="宋体"/>
          <w:b/>
          <w:bCs/>
          <w:sz w:val="60"/>
          <w:szCs w:val="60"/>
        </w:rPr>
      </w:r>
      <w:r/>
    </w:p>
    <w:p>
      <w:pPr>
        <w:pStyle w:val="1070"/>
        <w:ind w:left="2832" w:hanging="1900"/>
        <w:jc w:val="left"/>
        <w:spacing w:line="360" w:lineRule="auto"/>
        <w:tabs>
          <w:tab w:val="left" w:pos="3240" w:leader="none"/>
          <w:tab w:val="left" w:pos="3420" w:leader="none"/>
        </w:tabs>
        <w:rPr>
          <w:rFonts w:hint="eastAsia" w:ascii="宋体" w:hAnsi="宋体" w:eastAsia="宋体" w:cs="宋体"/>
          <w:bCs/>
          <w:sz w:val="32"/>
          <w:szCs w:val="32"/>
          <w:lang w:eastAsia="zh-CN"/>
        </w:rPr>
      </w:pPr>
      <w:r>
        <w:rPr>
          <w:bCs/>
          <w:sz w:val="36"/>
          <w:szCs w:val="36"/>
        </w:rPr>
        <w:t xml:space="preserve">项目名称：</w:t>
      </w:r>
      <w:r>
        <w:rPr>
          <w:rFonts w:hint="eastAsia" w:ascii="宋体" w:hAnsi="宋体" w:cs="宋体"/>
          <w:bCs/>
          <w:sz w:val="32"/>
          <w:szCs w:val="32"/>
          <w:lang w:eastAsia="zh-CN"/>
        </w:rPr>
        <w:t xml:space="preserve">2025年社渚镇环卫综合处理中心运营项目</w:t>
      </w:r>
      <w:r>
        <w:rPr>
          <w:rFonts w:hint="eastAsia" w:ascii="宋体" w:hAnsi="宋体" w:eastAsia="宋体" w:cs="宋体"/>
          <w:bCs/>
          <w:sz w:val="32"/>
          <w:szCs w:val="32"/>
          <w:lang w:eastAsia="zh-CN"/>
        </w:rPr>
      </w:r>
      <w:r/>
    </w:p>
    <w:p>
      <w:pPr>
        <w:pStyle w:val="1072"/>
      </w:pPr>
      <w:r/>
      <w:r/>
    </w:p>
    <w:p>
      <w:pPr>
        <w:pStyle w:val="1070"/>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ascii="宋体" w:hAnsi="宋体" w:cs="宋体"/>
          <w:bCs/>
          <w:sz w:val="32"/>
          <w:szCs w:val="32"/>
          <w:lang w:eastAsia="zh-CN"/>
        </w:rPr>
        <w:t xml:space="preserve">JSZC-320481-SNGL-C2025-0024</w:t>
      </w:r>
      <w:r>
        <w:rPr>
          <w:rFonts w:hint="eastAsia" w:eastAsia="宋体"/>
          <w:bCs/>
          <w:sz w:val="36"/>
          <w:szCs w:val="36"/>
          <w:lang w:eastAsia="zh-CN"/>
        </w:rPr>
      </w:r>
      <w:r/>
    </w:p>
    <w:p>
      <w:pPr>
        <w:pStyle w:val="1070"/>
        <w:ind w:left="2832" w:hanging="1900"/>
        <w:jc w:val="left"/>
        <w:spacing w:line="360" w:lineRule="auto"/>
        <w:tabs>
          <w:tab w:val="left" w:pos="3240" w:leader="none"/>
          <w:tab w:val="left" w:pos="3420" w:leader="none"/>
        </w:tabs>
        <w:rPr>
          <w:bCs/>
          <w:sz w:val="36"/>
          <w:szCs w:val="36"/>
          <w:highlight w:val="yellow"/>
        </w:rPr>
      </w:pPr>
      <w:r>
        <w:rPr>
          <w:bCs/>
          <w:sz w:val="36"/>
          <w:szCs w:val="36"/>
          <w:highlight w:val="yellow"/>
        </w:rPr>
      </w:r>
      <w:r/>
    </w:p>
    <w:p>
      <w:pPr>
        <w:pStyle w:val="1070"/>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ascii="宋体" w:hAnsi="宋体" w:cs="宋体"/>
          <w:bCs/>
          <w:sz w:val="32"/>
          <w:szCs w:val="32"/>
          <w:lang w:eastAsia="zh-CN"/>
        </w:rPr>
        <w:t xml:space="preserve">溧阳市社渚镇人民政府</w:t>
      </w:r>
      <w:r>
        <w:rPr>
          <w:rFonts w:hint="eastAsia" w:eastAsia="宋体"/>
          <w:bCs/>
          <w:sz w:val="36"/>
          <w:szCs w:val="36"/>
          <w:lang w:eastAsia="zh-CN"/>
        </w:rPr>
      </w:r>
      <w:r/>
    </w:p>
    <w:p>
      <w:pPr>
        <w:pStyle w:val="1070"/>
        <w:ind w:left="2832" w:hanging="1900"/>
        <w:jc w:val="left"/>
        <w:spacing w:line="360" w:lineRule="auto"/>
        <w:tabs>
          <w:tab w:val="left" w:pos="3240" w:leader="none"/>
          <w:tab w:val="left" w:pos="3420" w:leader="none"/>
        </w:tabs>
        <w:rPr>
          <w:rFonts w:hint="eastAsia"/>
          <w:bCs/>
          <w:sz w:val="36"/>
          <w:szCs w:val="36"/>
        </w:rPr>
      </w:pPr>
      <w:r>
        <w:rPr>
          <w:rFonts w:hint="eastAsia"/>
          <w:bCs/>
          <w:sz w:val="36"/>
          <w:szCs w:val="36"/>
        </w:rPr>
      </w:r>
      <w:r/>
    </w:p>
    <w:p>
      <w:pPr>
        <w:pStyle w:val="1070"/>
        <w:ind w:left="2832" w:hanging="1900"/>
        <w:jc w:val="left"/>
        <w:spacing w:line="360" w:lineRule="auto"/>
        <w:tabs>
          <w:tab w:val="left" w:pos="3240" w:leader="none"/>
          <w:tab w:val="left" w:pos="3420" w:leader="none"/>
        </w:tabs>
        <w:rPr>
          <w:rFonts w:hint="eastAsia" w:ascii="宋体" w:hAnsi="宋体" w:cs="宋体"/>
          <w:bCs/>
          <w:sz w:val="32"/>
          <w:szCs w:val="32"/>
        </w:rPr>
      </w:pPr>
      <w:r>
        <w:rPr>
          <w:rFonts w:hint="eastAsia"/>
          <w:bCs/>
          <w:sz w:val="36"/>
          <w:szCs w:val="36"/>
        </w:rPr>
        <w:t xml:space="preserve">采购</w:t>
      </w:r>
      <w:r>
        <w:rPr>
          <w:bCs/>
          <w:sz w:val="36"/>
          <w:szCs w:val="36"/>
        </w:rPr>
        <w:t xml:space="preserve">代理机构：</w:t>
      </w:r>
      <w:r>
        <w:rPr>
          <w:rFonts w:hint="eastAsia" w:ascii="宋体" w:hAnsi="宋体" w:cs="宋体"/>
          <w:bCs/>
          <w:sz w:val="32"/>
          <w:szCs w:val="32"/>
        </w:rPr>
        <w:t xml:space="preserve">江苏苏南项目管理有限公司</w:t>
      </w:r>
      <w:r>
        <w:rPr>
          <w:rFonts w:hint="eastAsia" w:ascii="宋体" w:hAnsi="宋体" w:cs="宋体"/>
          <w:bCs/>
          <w:sz w:val="32"/>
          <w:szCs w:val="32"/>
        </w:rPr>
        <w:br w:type="page" w:clear="all"/>
      </w:r>
      <w:r>
        <w:rPr>
          <w:bCs/>
          <w:sz w:val="36"/>
          <w:szCs w:val="36"/>
        </w:rPr>
        <w:t xml:space="preserve"> </w:t>
      </w:r>
      <w:r>
        <w:rPr>
          <w:rFonts w:hint="eastAsia" w:ascii="宋体" w:hAnsi="宋体" w:cs="宋体"/>
          <w:bCs/>
          <w:sz w:val="32"/>
          <w:szCs w:val="32"/>
        </w:rPr>
      </w:r>
      <w:r/>
    </w:p>
    <w:p>
      <w:pPr>
        <w:pStyle w:val="1070"/>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70"/>
      </w:pPr>
      <w:r/>
      <w:r/>
    </w:p>
    <w:p>
      <w:pPr>
        <w:pStyle w:val="1070"/>
      </w:pPr>
      <w:r/>
      <w:r/>
    </w:p>
    <w:p>
      <w:pPr>
        <w:pStyle w:val="1070"/>
      </w:pPr>
      <w:r/>
      <w:r/>
    </w:p>
    <w:p>
      <w:pPr>
        <w:pStyle w:val="1070"/>
      </w:pPr>
      <w:r/>
      <w:r/>
    </w:p>
    <w:p>
      <w:pPr>
        <w:pStyle w:val="1123"/>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123"/>
        <w:tabs>
          <w:tab w:val="left" w:pos="1050" w:leader="none"/>
          <w:tab w:val="right" w:pos="8937" w:leader="dot"/>
        </w:tabs>
        <w:rPr>
          <w:rFonts w:ascii="Calibri" w:hAnsi="Calibri"/>
          <w:b w:val="0"/>
          <w:sz w:val="21"/>
          <w:szCs w:val="22"/>
        </w:rPr>
      </w:pPr>
      <w:r>
        <w:rPr>
          <w:rStyle w:val="1146"/>
        </w:rPr>
        <w:fldChar w:fldCharType="begin"/>
      </w:r>
      <w:r>
        <w:rPr>
          <w:rStyle w:val="1146"/>
        </w:rPr>
        <w:instrText xml:space="preserve"> </w:instrText>
      </w:r>
      <w:r>
        <w:instrText xml:space="preserve">HYPERLINK \l "_Toc104818925"</w:instrText>
      </w:r>
      <w:r>
        <w:rPr>
          <w:rStyle w:val="1146"/>
        </w:rPr>
        <w:instrText xml:space="preserve"> </w:instrText>
      </w:r>
      <w:r>
        <w:rPr>
          <w:rStyle w:val="1146"/>
        </w:rPr>
        <w:fldChar w:fldCharType="separate"/>
      </w:r>
      <w:r>
        <w:rPr>
          <w:rStyle w:val="1146"/>
          <w:rFonts w:hint="eastAsia"/>
        </w:rPr>
        <w:t xml:space="preserve">第一章</w:t>
      </w:r>
      <w:r>
        <w:rPr>
          <w:rStyle w:val="1146"/>
        </w:rPr>
        <w:t xml:space="preserve">   </w:t>
      </w:r>
      <w:r>
        <w:rPr>
          <w:rStyle w:val="1146"/>
          <w:rFonts w:hint="eastAsia"/>
        </w:rPr>
        <w:t xml:space="preserve">采购邀请</w:t>
      </w:r>
      <w:r>
        <w:tab/>
      </w:r>
      <w:r>
        <w:fldChar w:fldCharType="begin"/>
      </w:r>
      <w:r>
        <w:instrText xml:space="preserve"> PAGEREF _Toc104818925 \h </w:instrText>
      </w:r>
      <w:r>
        <w:fldChar w:fldCharType="separate"/>
      </w:r>
      <w:r>
        <w:t xml:space="preserve">1</w:t>
      </w:r>
      <w:r>
        <w:fldChar w:fldCharType="end"/>
      </w:r>
      <w:r>
        <w:rPr>
          <w:rStyle w:val="1146"/>
        </w:rPr>
        <w:fldChar w:fldCharType="end"/>
      </w:r>
      <w:r>
        <w:rPr>
          <w:rFonts w:ascii="Calibri" w:hAnsi="Calibri"/>
          <w:b w:val="0"/>
          <w:sz w:val="21"/>
          <w:szCs w:val="22"/>
        </w:rPr>
      </w:r>
      <w:r/>
    </w:p>
    <w:p>
      <w:pPr>
        <w:pStyle w:val="1123"/>
        <w:tabs>
          <w:tab w:val="left" w:pos="1050" w:leader="none"/>
          <w:tab w:val="right" w:pos="8937" w:leader="dot"/>
        </w:tabs>
        <w:rPr>
          <w:rFonts w:ascii="Calibri" w:hAnsi="Calibri"/>
          <w:b w:val="0"/>
          <w:sz w:val="21"/>
          <w:szCs w:val="22"/>
        </w:rPr>
      </w:pPr>
      <w:r>
        <w:rPr>
          <w:rStyle w:val="1146"/>
        </w:rPr>
        <w:fldChar w:fldCharType="begin"/>
      </w:r>
      <w:r>
        <w:rPr>
          <w:rStyle w:val="1146"/>
        </w:rPr>
        <w:instrText xml:space="preserve"> </w:instrText>
      </w:r>
      <w:r>
        <w:instrText xml:space="preserve">HYPERLINK \l "_Toc104818926"</w:instrText>
      </w:r>
      <w:r>
        <w:rPr>
          <w:rStyle w:val="1146"/>
        </w:rPr>
        <w:instrText xml:space="preserve"> </w:instrText>
      </w:r>
      <w:r>
        <w:rPr>
          <w:rStyle w:val="1146"/>
        </w:rPr>
        <w:fldChar w:fldCharType="separate"/>
      </w:r>
      <w:r>
        <w:rPr>
          <w:rStyle w:val="1146"/>
          <w:rFonts w:hint="eastAsia"/>
        </w:rPr>
        <w:t xml:space="preserve">第二章</w:t>
      </w:r>
      <w:r>
        <w:rPr>
          <w:rStyle w:val="1146"/>
        </w:rPr>
        <w:t xml:space="preserve">   </w:t>
      </w:r>
      <w:r>
        <w:rPr>
          <w:rStyle w:val="1146"/>
          <w:rFonts w:hint="eastAsia"/>
        </w:rPr>
        <w:t xml:space="preserve">供应商须知</w:t>
      </w:r>
      <w:r>
        <w:tab/>
      </w:r>
      <w:r>
        <w:fldChar w:fldCharType="begin"/>
      </w:r>
      <w:r>
        <w:instrText xml:space="preserve"> PAGEREF _Toc104818926 \h </w:instrText>
      </w:r>
      <w:r>
        <w:fldChar w:fldCharType="separate"/>
      </w:r>
      <w:r>
        <w:t xml:space="preserve">5</w:t>
      </w:r>
      <w:r>
        <w:fldChar w:fldCharType="end"/>
      </w:r>
      <w:r>
        <w:rPr>
          <w:rStyle w:val="1146"/>
        </w:rPr>
        <w:fldChar w:fldCharType="end"/>
      </w:r>
      <w:r>
        <w:rPr>
          <w:rFonts w:ascii="Calibri" w:hAnsi="Calibri"/>
          <w:b w:val="0"/>
          <w:sz w:val="21"/>
          <w:szCs w:val="22"/>
        </w:rPr>
      </w:r>
      <w:r/>
    </w:p>
    <w:p>
      <w:pPr>
        <w:pStyle w:val="1123"/>
        <w:tabs>
          <w:tab w:val="left" w:pos="1050" w:leader="none"/>
          <w:tab w:val="right" w:pos="8937" w:leader="dot"/>
        </w:tabs>
        <w:rPr>
          <w:rFonts w:ascii="Calibri" w:hAnsi="Calibri"/>
          <w:b w:val="0"/>
          <w:sz w:val="21"/>
          <w:szCs w:val="22"/>
        </w:rPr>
      </w:pPr>
      <w:r>
        <w:rPr>
          <w:rStyle w:val="1146"/>
        </w:rPr>
        <w:fldChar w:fldCharType="begin"/>
      </w:r>
      <w:r>
        <w:rPr>
          <w:rStyle w:val="1146"/>
        </w:rPr>
        <w:instrText xml:space="preserve"> </w:instrText>
      </w:r>
      <w:r>
        <w:instrText xml:space="preserve">HYPERLINK \l "_Toc104818927"</w:instrText>
      </w:r>
      <w:r>
        <w:rPr>
          <w:rStyle w:val="1146"/>
        </w:rPr>
        <w:instrText xml:space="preserve"> </w:instrText>
      </w:r>
      <w:r>
        <w:rPr>
          <w:rStyle w:val="1146"/>
        </w:rPr>
        <w:fldChar w:fldCharType="separate"/>
      </w:r>
      <w:r>
        <w:rPr>
          <w:rStyle w:val="1146"/>
          <w:rFonts w:hint="eastAsia"/>
        </w:rPr>
        <w:t xml:space="preserve">第三章</w:t>
      </w:r>
      <w:r>
        <w:rPr>
          <w:rStyle w:val="1146"/>
        </w:rPr>
        <w:t xml:space="preserve">   </w:t>
      </w:r>
      <w:r>
        <w:rPr>
          <w:rStyle w:val="1146"/>
          <w:rFonts w:hint="eastAsia"/>
        </w:rPr>
        <w:t xml:space="preserve">评审程序、评审方法和评审标准</w:t>
      </w:r>
      <w:r>
        <w:tab/>
      </w:r>
      <w:r>
        <w:fldChar w:fldCharType="begin"/>
      </w:r>
      <w:r>
        <w:instrText xml:space="preserve"> PAGEREF _Toc104818927 \h </w:instrText>
      </w:r>
      <w:r>
        <w:fldChar w:fldCharType="separate"/>
      </w:r>
      <w:r>
        <w:t xml:space="preserve">18</w:t>
      </w:r>
      <w:r>
        <w:fldChar w:fldCharType="end"/>
      </w:r>
      <w:r>
        <w:rPr>
          <w:rStyle w:val="1146"/>
        </w:rPr>
        <w:fldChar w:fldCharType="end"/>
      </w:r>
      <w:r>
        <w:rPr>
          <w:rFonts w:ascii="Calibri" w:hAnsi="Calibri"/>
          <w:b w:val="0"/>
          <w:sz w:val="21"/>
          <w:szCs w:val="22"/>
        </w:rPr>
      </w:r>
      <w:r/>
    </w:p>
    <w:p>
      <w:pPr>
        <w:pStyle w:val="1123"/>
        <w:tabs>
          <w:tab w:val="left" w:pos="1050" w:leader="none"/>
          <w:tab w:val="right" w:pos="8937" w:leader="dot"/>
        </w:tabs>
        <w:rPr>
          <w:rFonts w:ascii="Calibri" w:hAnsi="Calibri"/>
          <w:b w:val="0"/>
          <w:sz w:val="21"/>
          <w:szCs w:val="22"/>
        </w:rPr>
      </w:pPr>
      <w:r>
        <w:rPr>
          <w:rStyle w:val="1146"/>
        </w:rPr>
        <w:fldChar w:fldCharType="begin"/>
      </w:r>
      <w:r>
        <w:rPr>
          <w:rStyle w:val="1146"/>
        </w:rPr>
        <w:instrText xml:space="preserve"> </w:instrText>
      </w:r>
      <w:r>
        <w:instrText xml:space="preserve">HYPERLINK \l "_Toc104818928"</w:instrText>
      </w:r>
      <w:r>
        <w:rPr>
          <w:rStyle w:val="1146"/>
        </w:rPr>
        <w:instrText xml:space="preserve"> </w:instrText>
      </w:r>
      <w:r>
        <w:rPr>
          <w:rStyle w:val="1146"/>
        </w:rPr>
        <w:fldChar w:fldCharType="separate"/>
      </w:r>
      <w:r>
        <w:rPr>
          <w:rStyle w:val="1146"/>
          <w:rFonts w:hint="eastAsia"/>
        </w:rPr>
        <w:t xml:space="preserve">第四章</w:t>
      </w:r>
      <w:r>
        <w:rPr>
          <w:rStyle w:val="1146"/>
        </w:rPr>
        <w:t xml:space="preserve">   </w:t>
      </w:r>
      <w:r>
        <w:rPr>
          <w:rStyle w:val="1146"/>
          <w:rFonts w:hint="eastAsia"/>
        </w:rPr>
        <w:t xml:space="preserve">采购需求</w:t>
      </w:r>
      <w:r>
        <w:tab/>
      </w:r>
      <w:r>
        <w:fldChar w:fldCharType="begin"/>
      </w:r>
      <w:r>
        <w:instrText xml:space="preserve"> PAGEREF _Toc104818928 \h </w:instrText>
      </w:r>
      <w:r>
        <w:fldChar w:fldCharType="separate"/>
      </w:r>
      <w:r>
        <w:t xml:space="preserve">28</w:t>
      </w:r>
      <w:r>
        <w:fldChar w:fldCharType="end"/>
      </w:r>
      <w:r>
        <w:rPr>
          <w:rStyle w:val="1146"/>
        </w:rPr>
        <w:fldChar w:fldCharType="end"/>
      </w:r>
      <w:r>
        <w:rPr>
          <w:rFonts w:ascii="Calibri" w:hAnsi="Calibri"/>
          <w:b w:val="0"/>
          <w:sz w:val="21"/>
          <w:szCs w:val="22"/>
        </w:rPr>
      </w:r>
      <w:r/>
    </w:p>
    <w:p>
      <w:pPr>
        <w:pStyle w:val="1123"/>
        <w:tabs>
          <w:tab w:val="left" w:pos="1050" w:leader="none"/>
          <w:tab w:val="right" w:pos="8937" w:leader="dot"/>
        </w:tabs>
        <w:rPr>
          <w:rFonts w:ascii="Calibri" w:hAnsi="Calibri"/>
          <w:b w:val="0"/>
          <w:sz w:val="21"/>
          <w:szCs w:val="22"/>
        </w:rPr>
      </w:pPr>
      <w:r>
        <w:rPr>
          <w:rStyle w:val="1146"/>
        </w:rPr>
        <w:fldChar w:fldCharType="begin"/>
      </w:r>
      <w:r>
        <w:rPr>
          <w:rStyle w:val="1146"/>
        </w:rPr>
        <w:instrText xml:space="preserve"> </w:instrText>
      </w:r>
      <w:r>
        <w:instrText xml:space="preserve">HYPERLINK \l "_Toc104818929"</w:instrText>
      </w:r>
      <w:r>
        <w:rPr>
          <w:rStyle w:val="1146"/>
        </w:rPr>
        <w:instrText xml:space="preserve"> </w:instrText>
      </w:r>
      <w:r>
        <w:rPr>
          <w:rStyle w:val="1146"/>
        </w:rPr>
        <w:fldChar w:fldCharType="separate"/>
      </w:r>
      <w:r>
        <w:rPr>
          <w:rStyle w:val="1146"/>
          <w:rFonts w:hint="eastAsia"/>
        </w:rPr>
        <w:t xml:space="preserve">第五章</w:t>
      </w:r>
      <w:r>
        <w:rPr>
          <w:rStyle w:val="1146"/>
        </w:rPr>
        <w:t xml:space="preserve">   </w:t>
      </w:r>
      <w:r>
        <w:rPr>
          <w:rStyle w:val="1146"/>
          <w:rFonts w:hint="eastAsia"/>
        </w:rPr>
        <w:t xml:space="preserve">合同草案条款</w:t>
      </w:r>
      <w:r>
        <w:tab/>
      </w:r>
      <w:r>
        <w:fldChar w:fldCharType="begin"/>
      </w:r>
      <w:r>
        <w:instrText xml:space="preserve"> PAGEREF _Toc104818929 \h </w:instrText>
      </w:r>
      <w:r>
        <w:fldChar w:fldCharType="separate"/>
      </w:r>
      <w:r>
        <w:t xml:space="preserve">31</w:t>
      </w:r>
      <w:r>
        <w:fldChar w:fldCharType="end"/>
      </w:r>
      <w:r>
        <w:rPr>
          <w:rStyle w:val="1146"/>
        </w:rPr>
        <w:fldChar w:fldCharType="end"/>
      </w:r>
      <w:r>
        <w:rPr>
          <w:rFonts w:ascii="Calibri" w:hAnsi="Calibri"/>
          <w:b w:val="0"/>
          <w:sz w:val="21"/>
          <w:szCs w:val="22"/>
        </w:rPr>
      </w:r>
      <w:r/>
    </w:p>
    <w:p>
      <w:pPr>
        <w:pStyle w:val="1123"/>
        <w:tabs>
          <w:tab w:val="left" w:pos="1050" w:leader="none"/>
          <w:tab w:val="right" w:pos="8937" w:leader="dot"/>
        </w:tabs>
        <w:rPr>
          <w:rFonts w:ascii="Calibri" w:hAnsi="Calibri"/>
          <w:b w:val="0"/>
          <w:sz w:val="21"/>
          <w:szCs w:val="22"/>
        </w:rPr>
      </w:pPr>
      <w:r>
        <w:rPr>
          <w:rStyle w:val="1146"/>
        </w:rPr>
        <w:fldChar w:fldCharType="begin"/>
      </w:r>
      <w:r>
        <w:rPr>
          <w:rStyle w:val="1146"/>
        </w:rPr>
        <w:instrText xml:space="preserve"> </w:instrText>
      </w:r>
      <w:r>
        <w:instrText xml:space="preserve">HYPERLINK \l "_Toc104818930"</w:instrText>
      </w:r>
      <w:r>
        <w:rPr>
          <w:rStyle w:val="1146"/>
        </w:rPr>
        <w:instrText xml:space="preserve"> </w:instrText>
      </w:r>
      <w:r>
        <w:rPr>
          <w:rStyle w:val="1146"/>
        </w:rPr>
        <w:fldChar w:fldCharType="separate"/>
      </w:r>
      <w:r>
        <w:rPr>
          <w:rStyle w:val="1146"/>
          <w:rFonts w:hint="eastAsia"/>
        </w:rPr>
        <w:t xml:space="preserve">第六章</w:t>
      </w:r>
      <w:r>
        <w:rPr>
          <w:rStyle w:val="1146"/>
        </w:rPr>
        <w:t xml:space="preserve">   </w:t>
      </w:r>
      <w:r>
        <w:rPr>
          <w:rStyle w:val="1146"/>
          <w:rFonts w:hint="eastAsia"/>
        </w:rPr>
        <w:t xml:space="preserve">响应文件格式</w:t>
      </w:r>
      <w:r>
        <w:tab/>
      </w:r>
      <w:r>
        <w:fldChar w:fldCharType="begin"/>
      </w:r>
      <w:r>
        <w:instrText xml:space="preserve"> PAGEREF _Toc104818930 \h </w:instrText>
      </w:r>
      <w:r>
        <w:fldChar w:fldCharType="separate"/>
      </w:r>
      <w:r>
        <w:t xml:space="preserve">31</w:t>
      </w:r>
      <w:r>
        <w:fldChar w:fldCharType="end"/>
      </w:r>
      <w:r>
        <w:rPr>
          <w:rStyle w:val="1146"/>
        </w:rPr>
        <w:fldChar w:fldCharType="end"/>
      </w:r>
      <w:r>
        <w:rPr>
          <w:rFonts w:ascii="Calibri" w:hAnsi="Calibri"/>
          <w:b w:val="0"/>
          <w:sz w:val="21"/>
          <w:szCs w:val="22"/>
        </w:rPr>
      </w:r>
      <w:r/>
    </w:p>
    <w:p>
      <w:pPr>
        <w:pStyle w:val="1123"/>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123"/>
        <w:spacing w:line="360" w:lineRule="auto"/>
        <w:tabs>
          <w:tab w:val="left" w:pos="1050" w:leader="none"/>
          <w:tab w:val="right" w:pos="8937" w:leader="dot"/>
        </w:tabs>
        <w:rPr>
          <w:b w:val="0"/>
          <w:sz w:val="36"/>
          <w:szCs w:val="36"/>
        </w:rPr>
      </w:pPr>
      <w:r>
        <w:rPr>
          <w:b w:val="0"/>
          <w:sz w:val="36"/>
          <w:szCs w:val="36"/>
        </w:rPr>
      </w:r>
      <w:r/>
    </w:p>
    <w:p>
      <w:pPr>
        <w:pStyle w:val="1070"/>
        <w:jc w:val="center"/>
        <w:spacing w:line="360" w:lineRule="auto"/>
        <w:rPr>
          <w:b/>
          <w:sz w:val="36"/>
          <w:szCs w:val="36"/>
        </w:rPr>
        <w:sectPr>
          <w:headerReference w:type="default" r:id="rId9"/>
          <w:headerReference w:type="first" r:id="rId10"/>
          <w:footerReference w:type="default" r:id="rId13"/>
          <w:footerReference w:type="first" r:id="rId14"/>
          <w:footnotePr/>
          <w:endnotePr/>
          <w:type w:val="nextPage"/>
          <w:pgSz w:w="11905" w:h="16838" w:orient="portrait"/>
          <w:pgMar w:top="1417" w:right="1134" w:bottom="1417" w:left="1134" w:header="851" w:footer="850" w:gutter="0"/>
          <w:pgNumType w:start="1"/>
          <w:cols w:num="1" w:sep="0" w:space="1701" w:equalWidth="1"/>
          <w:docGrid w:linePitch="360"/>
          <w:titlePg/>
        </w:sectPr>
        <w:outlineLvl w:val="0"/>
      </w:pPr>
      <w:r>
        <w:rPr>
          <w:b/>
          <w:sz w:val="36"/>
          <w:szCs w:val="36"/>
        </w:rPr>
      </w:r>
      <w:r/>
    </w:p>
    <w:p>
      <w:pPr>
        <w:pStyle w:val="1070"/>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02"/>
      <w:r/>
      <w:bookmarkStart w:id="3" w:name="_Toc28359079"/>
      <w:r/>
      <w:bookmarkStart w:id="4" w:name="_Toc35393790"/>
      <w:r/>
      <w:bookmarkStart w:id="5" w:name="_Toc35393621"/>
      <w:r/>
      <w:bookmarkStart w:id="6" w:name="_Hlk24379207"/>
      <w:r>
        <w:rPr>
          <w:b/>
          <w:sz w:val="36"/>
          <w:szCs w:val="36"/>
        </w:rPr>
      </w:r>
      <w:r/>
    </w:p>
    <w:p>
      <w:pPr>
        <w:pStyle w:val="107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1070"/>
        <w:ind w:firstLine="480"/>
        <w:spacing w:line="360" w:lineRule="auto"/>
        <w:rPr>
          <w:rFonts w:hint="eastAsia" w:eastAsia="宋体"/>
          <w:sz w:val="24"/>
          <w:lang w:eastAsia="zh-CN"/>
        </w:rPr>
      </w:pPr>
      <w:r>
        <w:rPr>
          <w:sz w:val="24"/>
        </w:rPr>
        <w:t xml:space="preserve">1.项目编号：</w:t>
      </w:r>
      <w:r>
        <w:rPr>
          <w:rFonts w:hint="eastAsia" w:ascii="宋体" w:hAnsi="宋体" w:cs="仿宋"/>
          <w:sz w:val="24"/>
          <w:lang w:eastAsia="zh-CN" w:bidi="ar"/>
        </w:rPr>
        <w:t xml:space="preserve">JSZC-320481-SNGL-C2025-0024</w:t>
      </w:r>
      <w:r>
        <w:rPr>
          <w:rFonts w:hint="eastAsia" w:eastAsia="宋体"/>
          <w:sz w:val="24"/>
          <w:lang w:eastAsia="zh-CN"/>
        </w:rPr>
      </w:r>
      <w:r/>
    </w:p>
    <w:p>
      <w:pPr>
        <w:pStyle w:val="1070"/>
        <w:ind w:firstLine="480"/>
        <w:spacing w:line="360" w:lineRule="auto"/>
        <w:rPr>
          <w:rFonts w:hint="eastAsia" w:ascii="宋体" w:hAnsi="宋体" w:eastAsia="宋体" w:cs="仿宋"/>
          <w:sz w:val="24"/>
          <w:lang w:eastAsia="zh-CN" w:bidi="ar"/>
        </w:rPr>
      </w:pPr>
      <w:r>
        <w:rPr>
          <w:sz w:val="24"/>
        </w:rPr>
        <w:t xml:space="preserve">2.项目名称：</w:t>
      </w:r>
      <w:r>
        <w:rPr>
          <w:rFonts w:hint="eastAsia" w:ascii="宋体" w:hAnsi="宋体" w:cs="仿宋"/>
          <w:sz w:val="24"/>
          <w:lang w:eastAsia="zh-CN" w:bidi="ar"/>
        </w:rPr>
        <w:t xml:space="preserve">2025年社渚镇环卫综合处理中心运营项目</w:t>
      </w:r>
      <w:r>
        <w:rPr>
          <w:rFonts w:hint="eastAsia" w:ascii="宋体" w:hAnsi="宋体" w:eastAsia="宋体" w:cs="仿宋"/>
          <w:sz w:val="24"/>
          <w:lang w:eastAsia="zh-CN" w:bidi="ar"/>
        </w:rPr>
      </w:r>
      <w:r/>
    </w:p>
    <w:p>
      <w:pPr>
        <w:pStyle w:val="1070"/>
        <w:ind w:firstLine="480"/>
        <w:spacing w:line="360" w:lineRule="auto"/>
        <w:rPr>
          <w:sz w:val="24"/>
        </w:rPr>
      </w:pPr>
      <w:r>
        <w:rPr>
          <w:sz w:val="24"/>
        </w:rPr>
        <w:t xml:space="preserve">3.采购方式：竞争性磋商</w:t>
      </w:r>
      <w:r>
        <w:rPr>
          <w:sz w:val="24"/>
        </w:rPr>
      </w:r>
      <w:r/>
    </w:p>
    <w:p>
      <w:pPr>
        <w:pStyle w:val="1070"/>
        <w:ind w:firstLine="480"/>
        <w:spacing w:line="360" w:lineRule="auto"/>
        <w:rPr>
          <w:rFonts w:hint="eastAsia" w:ascii="宋体" w:hAnsi="宋体" w:cs="宋体"/>
          <w:sz w:val="24"/>
          <w:lang w:eastAsia="zh-CN"/>
        </w:rPr>
      </w:pPr>
      <w:r/>
      <w:bookmarkEnd w:id="6"/>
      <w:r>
        <w:rPr>
          <w:sz w:val="24"/>
        </w:rPr>
        <w:t xml:space="preserve">4.项</w:t>
      </w:r>
      <w:r>
        <w:rPr>
          <w:rFonts w:hint="eastAsia" w:ascii="宋体" w:hAnsi="宋体" w:cs="宋体"/>
          <w:sz w:val="24"/>
        </w:rPr>
        <w:t xml:space="preserve">目预算金额：</w:t>
      </w:r>
      <w:r>
        <w:rPr>
          <w:rFonts w:hint="eastAsia" w:ascii="宋体" w:hAnsi="宋体" w:cs="宋体"/>
          <w:sz w:val="24"/>
          <w:lang w:val="en-US" w:eastAsia="zh-CN"/>
        </w:rPr>
        <w:t xml:space="preserve">124.2</w:t>
      </w:r>
      <w:r>
        <w:rPr>
          <w:rFonts w:hint="eastAsia" w:ascii="宋体" w:hAnsi="宋体" w:cs="宋体"/>
          <w:sz w:val="24"/>
        </w:rPr>
        <w:t xml:space="preserve">万元</w:t>
      </w:r>
      <w:r>
        <w:rPr>
          <w:rFonts w:hint="eastAsia" w:ascii="宋体" w:hAnsi="宋体" w:cs="宋体"/>
          <w:sz w:val="24"/>
          <w:lang w:eastAsia="zh-CN"/>
        </w:rPr>
      </w:r>
      <w:r/>
    </w:p>
    <w:p>
      <w:pPr>
        <w:pStyle w:val="1070"/>
        <w:ind w:firstLine="480"/>
        <w:spacing w:line="360" w:lineRule="auto"/>
        <w:rPr>
          <w:b/>
          <w:bCs/>
          <w:sz w:val="24"/>
        </w:rPr>
      </w:pPr>
      <w:r>
        <w:rPr>
          <w:rFonts w:hint="eastAsia" w:ascii="宋体" w:hAnsi="宋体" w:cs="宋体"/>
          <w:sz w:val="24"/>
        </w:rPr>
        <w:t xml:space="preserve">项目最高限价</w:t>
      </w:r>
      <w:r>
        <w:rPr>
          <w:rFonts w:hint="eastAsia" w:ascii="宋体" w:hAnsi="宋体" w:cs="宋体"/>
          <w:sz w:val="24"/>
          <w:lang w:eastAsia="zh-CN"/>
        </w:rPr>
        <w:t xml:space="preserve">（</w:t>
      </w:r>
      <w:r>
        <w:rPr>
          <w:rFonts w:hint="eastAsia" w:ascii="宋体" w:hAnsi="宋体" w:cs="宋体"/>
          <w:sz w:val="24"/>
          <w:lang w:val="en-US" w:eastAsia="zh-CN"/>
        </w:rPr>
        <w:t xml:space="preserve">控制价</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eastAsia="宋体" w:cs="宋体"/>
          <w:sz w:val="24"/>
          <w:lang w:val="en-US" w:eastAsia="zh-CN"/>
        </w:rPr>
        <w:t xml:space="preserve">111.78</w:t>
      </w:r>
      <w:r>
        <w:rPr>
          <w:rFonts w:hint="eastAsia" w:ascii="宋体" w:hAnsi="宋体" w:eastAsia="宋体" w:cs="宋体"/>
          <w:sz w:val="24"/>
        </w:rPr>
        <w:t xml:space="preserve">万元</w:t>
      </w:r>
      <w:r>
        <w:rPr>
          <w:rFonts w:hint="eastAsia" w:ascii="宋体" w:hAnsi="宋体" w:cs="宋体"/>
          <w:b/>
          <w:bCs/>
          <w:sz w:val="24"/>
        </w:rPr>
        <w:t xml:space="preserve">，</w:t>
      </w:r>
      <w:r>
        <w:rPr>
          <w:rFonts w:hint="eastAsia" w:ascii="宋体" w:hAnsi="宋体" w:cs="宋体"/>
          <w:b/>
          <w:bCs/>
          <w:sz w:val="24"/>
          <w:lang w:val="en-US" w:eastAsia="zh-CN"/>
        </w:rPr>
        <w:t xml:space="preserve">报价</w:t>
      </w:r>
      <w:r>
        <w:rPr>
          <w:rFonts w:hint="eastAsia" w:ascii="宋体" w:hAnsi="宋体" w:cs="宋体"/>
          <w:b/>
          <w:bCs/>
          <w:sz w:val="24"/>
        </w:rPr>
        <w:t xml:space="preserve">不得超过控制价，否则作无效响应处理。</w:t>
      </w:r>
      <w:r>
        <w:rPr>
          <w:b/>
          <w:bCs/>
          <w:sz w:val="24"/>
        </w:rPr>
      </w:r>
      <w:r/>
    </w:p>
    <w:p>
      <w:pPr>
        <w:pStyle w:val="1070"/>
        <w:ind w:firstLine="480"/>
        <w:spacing w:line="360" w:lineRule="auto"/>
        <w:rPr>
          <w:sz w:val="24"/>
        </w:rPr>
      </w:pPr>
      <w:r>
        <w:rPr>
          <w:sz w:val="24"/>
        </w:rPr>
        <w:t xml:space="preserve">5.采购需求：</w:t>
      </w:r>
      <w:r>
        <w:rPr>
          <w:rFonts w:hint="eastAsia" w:ascii="宋体" w:hAnsi="宋体" w:cs="仿宋"/>
          <w:sz w:val="24"/>
          <w:lang w:bidi="ar"/>
        </w:rPr>
        <w:t xml:space="preserve">本次招标内容为</w:t>
      </w:r>
      <w:r>
        <w:rPr>
          <w:rFonts w:hint="eastAsia" w:ascii="宋体" w:hAnsi="宋体" w:cs="仿宋"/>
          <w:sz w:val="24"/>
          <w:lang w:eastAsia="zh-CN" w:bidi="ar"/>
        </w:rPr>
        <w:t xml:space="preserve">2025年社渚镇环卫综合处理中心运营项目</w:t>
      </w:r>
      <w:r>
        <w:rPr>
          <w:rFonts w:hint="eastAsia" w:ascii="宋体" w:hAnsi="宋体" w:cs="仿宋"/>
          <w:sz w:val="24"/>
          <w:lang w:bidi="ar"/>
        </w:rPr>
        <w:t xml:space="preserve">，具体详见采购需求章节。</w:t>
      </w:r>
      <w:r>
        <w:rPr>
          <w:sz w:val="24"/>
        </w:rPr>
      </w:r>
      <w:r/>
    </w:p>
    <w:tbl>
      <w:tblPr>
        <w:tblW w:w="4682" w:type="pct"/>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2799"/>
        <w:gridCol w:w="1172"/>
        <w:gridCol w:w="938"/>
        <w:gridCol w:w="3397"/>
      </w:tblGrid>
      <w:tr>
        <w:trPr>
          <w:trHeight w:val="454"/>
        </w:trPr>
        <w:tc>
          <w:tcPr>
            <w:tcW w:w="498" w:type="dxa"/>
            <w:vAlign w:val="center"/>
            <w:textDirection w:val="lrTb"/>
            <w:noWrap w:val="false"/>
          </w:tcPr>
          <w:p>
            <w:pPr>
              <w:pStyle w:val="1070"/>
              <w:jc w:val="center"/>
              <w:rPr>
                <w:rFonts w:hint="eastAsia" w:ascii="宋体" w:hAnsi="宋体" w:cs="宋体"/>
                <w:bCs/>
                <w:szCs w:val="21"/>
              </w:rPr>
            </w:pPr>
            <w:r>
              <w:rPr>
                <w:rFonts w:hint="eastAsia" w:ascii="宋体" w:hAnsi="宋体" w:cs="宋体"/>
                <w:bCs/>
                <w:szCs w:val="21"/>
              </w:rPr>
              <w:t xml:space="preserve">序号</w:t>
            </w:r>
            <w:r>
              <w:rPr>
                <w:rFonts w:hint="eastAsia" w:ascii="宋体" w:hAnsi="宋体" w:cs="宋体"/>
                <w:bCs/>
                <w:szCs w:val="21"/>
              </w:rPr>
            </w:r>
            <w:r/>
          </w:p>
        </w:tc>
        <w:tc>
          <w:tcPr>
            <w:tcW w:w="1516" w:type="dxa"/>
            <w:vAlign w:val="center"/>
            <w:textDirection w:val="lrTb"/>
            <w:noWrap w:val="false"/>
          </w:tcPr>
          <w:p>
            <w:pPr>
              <w:pStyle w:val="1070"/>
              <w:jc w:val="center"/>
              <w:rPr>
                <w:rFonts w:ascii="宋体" w:hAnsi="宋体" w:cs="宋体"/>
                <w:bCs/>
                <w:szCs w:val="21"/>
              </w:rPr>
            </w:pPr>
            <w:r>
              <w:rPr>
                <w:rFonts w:hint="eastAsia" w:ascii="宋体" w:hAnsi="宋体" w:cs="宋体"/>
                <w:bCs/>
                <w:szCs w:val="21"/>
              </w:rPr>
              <w:t xml:space="preserve">标段名称</w:t>
            </w:r>
            <w:r>
              <w:rPr>
                <w:rFonts w:ascii="宋体" w:hAnsi="宋体" w:cs="宋体"/>
                <w:bCs/>
                <w:szCs w:val="21"/>
              </w:rPr>
            </w:r>
            <w:r/>
          </w:p>
        </w:tc>
        <w:tc>
          <w:tcPr>
            <w:tcW w:w="635" w:type="dxa"/>
            <w:vAlign w:val="center"/>
            <w:textDirection w:val="lrTb"/>
            <w:noWrap w:val="false"/>
          </w:tcPr>
          <w:p>
            <w:pPr>
              <w:pStyle w:val="1070"/>
              <w:jc w:val="center"/>
              <w:rPr>
                <w:rFonts w:hint="eastAsia" w:ascii="宋体" w:hAnsi="宋体" w:cs="宋体"/>
                <w:bCs/>
                <w:szCs w:val="21"/>
              </w:rPr>
            </w:pPr>
            <w:r>
              <w:rPr>
                <w:rFonts w:hint="eastAsia" w:ascii="宋体" w:hAnsi="宋体" w:cs="宋体"/>
                <w:bCs/>
                <w:szCs w:val="21"/>
              </w:rPr>
              <w:t xml:space="preserve">预算金额（万元）</w:t>
            </w:r>
            <w:r>
              <w:rPr>
                <w:rFonts w:hint="eastAsia" w:ascii="宋体" w:hAnsi="宋体" w:cs="宋体"/>
                <w:bCs/>
                <w:szCs w:val="21"/>
              </w:rPr>
            </w:r>
            <w:r/>
          </w:p>
        </w:tc>
        <w:tc>
          <w:tcPr>
            <w:tcW w:w="508" w:type="dxa"/>
            <w:vAlign w:val="center"/>
            <w:textDirection w:val="lrTb"/>
            <w:noWrap w:val="false"/>
          </w:tcPr>
          <w:p>
            <w:pPr>
              <w:pStyle w:val="1070"/>
              <w:jc w:val="center"/>
              <w:rPr>
                <w:rFonts w:hint="eastAsia" w:ascii="宋体" w:hAnsi="宋体" w:cs="宋体"/>
                <w:bCs/>
                <w:szCs w:val="21"/>
              </w:rPr>
            </w:pPr>
            <w:r>
              <w:rPr>
                <w:rFonts w:hint="eastAsia" w:ascii="宋体" w:hAnsi="宋体" w:cs="宋体"/>
                <w:bCs/>
                <w:szCs w:val="21"/>
              </w:rPr>
              <w:t xml:space="preserve">数量</w:t>
            </w:r>
            <w:r>
              <w:rPr>
                <w:rFonts w:hint="eastAsia" w:ascii="宋体" w:hAnsi="宋体" w:cs="宋体"/>
                <w:bCs/>
                <w:szCs w:val="21"/>
              </w:rPr>
            </w:r>
            <w:r/>
          </w:p>
        </w:tc>
        <w:tc>
          <w:tcPr>
            <w:tcW w:w="1840" w:type="dxa"/>
            <w:vAlign w:val="center"/>
            <w:textDirection w:val="lrTb"/>
            <w:noWrap w:val="false"/>
          </w:tcPr>
          <w:p>
            <w:pPr>
              <w:pStyle w:val="1070"/>
              <w:jc w:val="center"/>
              <w:rPr>
                <w:rFonts w:hint="eastAsia" w:ascii="宋体" w:hAnsi="宋体" w:cs="宋体"/>
                <w:bCs/>
                <w:szCs w:val="21"/>
              </w:rPr>
            </w:pPr>
            <w:r>
              <w:rPr>
                <w:rFonts w:hint="eastAsia" w:ascii="宋体" w:hAnsi="宋体" w:cs="宋体"/>
                <w:bCs/>
                <w:szCs w:val="21"/>
              </w:rPr>
              <w:t xml:space="preserve">简要技术需求或服务要求</w:t>
            </w:r>
            <w:r>
              <w:rPr>
                <w:rFonts w:hint="eastAsia" w:ascii="宋体" w:hAnsi="宋体" w:cs="宋体"/>
                <w:bCs/>
                <w:szCs w:val="21"/>
              </w:rPr>
            </w:r>
            <w:r/>
          </w:p>
        </w:tc>
      </w:tr>
      <w:tr>
        <w:trPr>
          <w:trHeight w:val="411"/>
        </w:trPr>
        <w:tc>
          <w:tcPr>
            <w:tcW w:w="498" w:type="dxa"/>
            <w:vAlign w:val="center"/>
            <w:textDirection w:val="lrTb"/>
            <w:noWrap w:val="false"/>
          </w:tcPr>
          <w:p>
            <w:pPr>
              <w:pStyle w:val="1070"/>
              <w:jc w:val="center"/>
              <w:rPr>
                <w:rFonts w:hint="eastAsia" w:ascii="宋体" w:hAnsi="宋体" w:cs="宋体"/>
                <w:bCs/>
                <w:szCs w:val="21"/>
              </w:rPr>
            </w:pPr>
            <w:r>
              <w:rPr>
                <w:rFonts w:hint="eastAsia" w:ascii="宋体" w:hAnsi="宋体" w:cs="宋体"/>
                <w:bCs/>
                <w:szCs w:val="21"/>
              </w:rPr>
              <w:t xml:space="preserve">01</w:t>
            </w:r>
            <w:r>
              <w:rPr>
                <w:rFonts w:hint="eastAsia" w:ascii="宋体" w:hAnsi="宋体" w:cs="宋体"/>
                <w:bCs/>
                <w:szCs w:val="21"/>
              </w:rPr>
            </w:r>
            <w:r/>
          </w:p>
        </w:tc>
        <w:tc>
          <w:tcPr>
            <w:tcW w:w="1516" w:type="dxa"/>
            <w:vAlign w:val="center"/>
            <w:textDirection w:val="lrTb"/>
            <w:noWrap w:val="false"/>
          </w:tcPr>
          <w:p>
            <w:pPr>
              <w:pStyle w:val="1070"/>
              <w:jc w:val="center"/>
              <w:rPr>
                <w:rFonts w:hint="eastAsia" w:ascii="宋体" w:hAnsi="宋体" w:eastAsia="宋体" w:cs="宋体"/>
                <w:bCs/>
                <w:szCs w:val="21"/>
                <w:lang w:eastAsia="zh-CN"/>
              </w:rPr>
            </w:pPr>
            <w:r>
              <w:rPr>
                <w:rFonts w:hint="eastAsia" w:ascii="宋体" w:hAnsi="宋体" w:cs="宋体"/>
                <w:bCs/>
                <w:szCs w:val="21"/>
                <w:lang w:eastAsia="zh-CN"/>
              </w:rPr>
              <w:t xml:space="preserve">2025年社渚镇环卫综合处理中心运营项目</w:t>
            </w:r>
            <w:r>
              <w:rPr>
                <w:rFonts w:hint="eastAsia" w:ascii="宋体" w:hAnsi="宋体" w:eastAsia="宋体" w:cs="宋体"/>
                <w:bCs/>
                <w:szCs w:val="21"/>
                <w:lang w:eastAsia="zh-CN"/>
              </w:rPr>
            </w:r>
            <w:r/>
          </w:p>
        </w:tc>
        <w:tc>
          <w:tcPr>
            <w:tcW w:w="635" w:type="dxa"/>
            <w:vAlign w:val="center"/>
            <w:textDirection w:val="lrTb"/>
            <w:noWrap w:val="false"/>
          </w:tcPr>
          <w:p>
            <w:pPr>
              <w:pStyle w:val="1070"/>
              <w:jc w:val="center"/>
              <w:rPr>
                <w:rFonts w:ascii="宋体" w:hAnsi="宋体" w:eastAsia="宋体" w:cs="宋体"/>
                <w:bCs/>
                <w:szCs w:val="21"/>
                <w:lang w:val="en-US" w:eastAsia="zh-CN"/>
              </w:rPr>
            </w:pPr>
            <w:r>
              <w:rPr>
                <w:rFonts w:hint="eastAsia" w:ascii="宋体" w:hAnsi="宋体" w:cs="宋体"/>
                <w:bCs/>
                <w:szCs w:val="21"/>
                <w:lang w:val="en-US" w:eastAsia="zh-CN"/>
              </w:rPr>
              <w:t xml:space="preserve">1</w:t>
            </w:r>
            <w:r>
              <w:rPr>
                <w:rFonts w:hint="eastAsia" w:ascii="宋体" w:hAnsi="宋体" w:cs="宋体"/>
                <w:bCs/>
                <w:szCs w:val="21"/>
                <w:lang w:val="en-US" w:eastAsia="zh-CN"/>
              </w:rPr>
              <w:t xml:space="preserve">24.2</w:t>
            </w:r>
            <w:r>
              <w:rPr>
                <w:rFonts w:ascii="宋体" w:hAnsi="宋体" w:eastAsia="宋体" w:cs="宋体"/>
                <w:bCs/>
                <w:szCs w:val="21"/>
                <w:lang w:val="en-US" w:eastAsia="zh-CN"/>
              </w:rPr>
            </w:r>
            <w:r/>
          </w:p>
        </w:tc>
        <w:tc>
          <w:tcPr>
            <w:tcW w:w="508" w:type="dxa"/>
            <w:vAlign w:val="center"/>
            <w:textDirection w:val="lrTb"/>
            <w:noWrap w:val="false"/>
          </w:tcPr>
          <w:p>
            <w:pPr>
              <w:pStyle w:val="1070"/>
              <w:jc w:val="center"/>
              <w:rPr>
                <w:rFonts w:ascii="宋体" w:hAnsi="宋体" w:cs="宋体"/>
                <w:bCs/>
                <w:szCs w:val="21"/>
              </w:rPr>
            </w:pPr>
            <w:r>
              <w:rPr>
                <w:rFonts w:hint="eastAsia" w:ascii="宋体" w:hAnsi="宋体" w:cs="宋体"/>
                <w:bCs/>
                <w:szCs w:val="21"/>
              </w:rPr>
              <w:t xml:space="preserve">1项</w:t>
            </w:r>
            <w:r>
              <w:rPr>
                <w:rFonts w:ascii="宋体" w:hAnsi="宋体" w:cs="宋体"/>
                <w:bCs/>
                <w:szCs w:val="21"/>
              </w:rPr>
            </w:r>
            <w:r/>
          </w:p>
        </w:tc>
        <w:tc>
          <w:tcPr>
            <w:tcW w:w="1840" w:type="dxa"/>
            <w:vAlign w:val="center"/>
            <w:textDirection w:val="lrTb"/>
            <w:noWrap w:val="false"/>
          </w:tcPr>
          <w:p>
            <w:pPr>
              <w:pStyle w:val="1070"/>
              <w:jc w:val="center"/>
              <w:rPr>
                <w:rFonts w:ascii="宋体" w:hAnsi="宋体" w:cs="宋体"/>
                <w:szCs w:val="21"/>
              </w:rPr>
            </w:pPr>
            <w:r>
              <w:rPr>
                <w:rFonts w:hint="eastAsia" w:ascii="宋体" w:hAnsi="宋体" w:cs="宋体"/>
                <w:color w:val="000000"/>
                <w:szCs w:val="21"/>
                <w:lang w:val="en-US" w:eastAsia="zh-CN"/>
              </w:rPr>
              <w:t xml:space="preserve">保障中心日常运营服务。</w:t>
            </w:r>
            <w:r>
              <w:rPr>
                <w:rFonts w:hint="eastAsia" w:ascii="宋体" w:hAnsi="宋体" w:cs="宋体"/>
                <w:color w:val="000000"/>
                <w:szCs w:val="21"/>
              </w:rPr>
              <w:t xml:space="preserve">具体详见采购需求章节</w:t>
            </w:r>
            <w:r>
              <w:rPr>
                <w:rFonts w:ascii="宋体" w:hAnsi="宋体" w:cs="宋体"/>
                <w:szCs w:val="21"/>
              </w:rPr>
            </w:r>
            <w:r/>
          </w:p>
        </w:tc>
      </w:tr>
    </w:tbl>
    <w:p>
      <w:pPr>
        <w:pStyle w:val="1070"/>
        <w:ind w:firstLine="480"/>
        <w:spacing w:line="360" w:lineRule="auto"/>
        <w:rPr>
          <w:rFonts w:hint="eastAsia"/>
          <w:sz w:val="24"/>
          <w:highlight w:val="none"/>
        </w:rPr>
      </w:pPr>
      <w:r>
        <w:rPr>
          <w:sz w:val="24"/>
        </w:rPr>
        <w:t xml:space="preserve">6.合同履行期限：</w:t>
      </w:r>
      <w:r>
        <w:rPr>
          <w:rFonts w:hint="eastAsia"/>
          <w:b/>
          <w:bCs/>
          <w:sz w:val="24"/>
          <w:highlight w:val="none"/>
          <w:lang w:val="en-US" w:eastAsia="zh-CN"/>
        </w:rPr>
        <w:t xml:space="preserve">1</w:t>
      </w:r>
      <w:r>
        <w:rPr>
          <w:rFonts w:hint="eastAsia"/>
          <w:b/>
          <w:bCs/>
          <w:sz w:val="24"/>
          <w:highlight w:val="none"/>
        </w:rPr>
        <w:t xml:space="preserve">年</w:t>
      </w:r>
      <w:r>
        <w:rPr>
          <w:rFonts w:hint="eastAsia"/>
          <w:b/>
          <w:bCs/>
          <w:sz w:val="24"/>
          <w:highlight w:val="none"/>
          <w:lang w:eastAsia="zh-CN"/>
        </w:rPr>
        <w:t xml:space="preserve">（</w:t>
      </w:r>
      <w:r>
        <w:rPr>
          <w:rFonts w:hint="eastAsia"/>
          <w:b/>
          <w:bCs/>
          <w:sz w:val="24"/>
          <w:highlight w:val="none"/>
          <w:lang w:val="en-US" w:eastAsia="zh-CN"/>
        </w:rPr>
        <w:t xml:space="preserve">具体以甲方通知</w:t>
      </w:r>
      <w:r>
        <w:rPr>
          <w:rFonts w:hint="eastAsia" w:ascii="Times New Roman" w:eastAsia="宋体"/>
          <w:b/>
          <w:bCs/>
          <w:sz w:val="24"/>
          <w:highlight w:val="none"/>
          <w:lang w:val="en-US" w:eastAsia="zh-CN"/>
        </w:rPr>
        <w:t xml:space="preserve">进场时间</w:t>
      </w:r>
      <w:r>
        <w:rPr>
          <w:rFonts w:hint="eastAsia"/>
          <w:b/>
          <w:bCs/>
          <w:sz w:val="24"/>
          <w:highlight w:val="none"/>
          <w:lang w:val="en-US" w:eastAsia="zh-CN"/>
        </w:rPr>
        <w:t xml:space="preserve">为准</w:t>
      </w:r>
      <w:r>
        <w:rPr>
          <w:rFonts w:hint="eastAsia"/>
          <w:b/>
          <w:bCs/>
          <w:sz w:val="24"/>
          <w:highlight w:val="none"/>
          <w:lang w:eastAsia="zh-CN"/>
        </w:rPr>
        <w:t xml:space="preserve">）</w:t>
      </w:r>
      <w:r>
        <w:rPr>
          <w:rFonts w:hint="eastAsia"/>
          <w:b/>
          <w:bCs/>
          <w:sz w:val="24"/>
          <w:highlight w:val="none"/>
        </w:rPr>
        <w:t xml:space="preserve">。</w:t>
      </w:r>
      <w:r>
        <w:rPr>
          <w:rFonts w:hint="eastAsia"/>
          <w:sz w:val="24"/>
          <w:highlight w:val="none"/>
        </w:rPr>
      </w:r>
      <w:r/>
    </w:p>
    <w:p>
      <w:pPr>
        <w:pStyle w:val="1070"/>
        <w:ind w:firstLine="480"/>
        <w:spacing w:line="360" w:lineRule="auto"/>
        <w:rPr>
          <w:sz w:val="24"/>
        </w:rPr>
      </w:pPr>
      <w:r>
        <w:rPr>
          <w:sz w:val="24"/>
        </w:rPr>
        <w:t xml:space="preserve">7.本项目是否接受联合体：</w:t>
      </w:r>
      <w:r>
        <w:rPr>
          <w:rFonts w:hint="eastAsia" w:eastAsia="宋体"/>
          <w:sz w:val="24"/>
          <w:lang w:eastAsia="zh-CN"/>
        </w:rPr>
        <w:t xml:space="preserve">□</w:t>
      </w:r>
      <w:r>
        <w:rPr>
          <w:sz w:val="24"/>
        </w:rPr>
        <w:t xml:space="preserve">是  </w:t>
      </w:r>
      <w:r>
        <w:rPr>
          <w:rFonts w:hint="eastAsia" w:ascii="宋体" w:hAnsi="宋体" w:cs="宋体"/>
          <w:sz w:val="24"/>
        </w:rPr>
        <w:t xml:space="preserve">■</w:t>
      </w:r>
      <w:r>
        <w:rPr>
          <w:sz w:val="24"/>
        </w:rPr>
        <w:t xml:space="preserve">否。</w:t>
      </w:r>
      <w:bookmarkStart w:id="7" w:name="_Toc28359003"/>
      <w:r/>
      <w:bookmarkStart w:id="8" w:name="_Toc35393622"/>
      <w:r/>
      <w:bookmarkStart w:id="9" w:name="_Toc28359080"/>
      <w:r/>
      <w:bookmarkStart w:id="10" w:name="_Toc35393791"/>
      <w:r>
        <w:rPr>
          <w:sz w:val="24"/>
        </w:rPr>
      </w:r>
      <w:r/>
    </w:p>
    <w:p>
      <w:pPr>
        <w:pStyle w:val="1070"/>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进口产品响应</w:t>
      </w:r>
      <w:r>
        <w:rPr>
          <w:sz w:val="24"/>
        </w:rPr>
        <w:t xml:space="preserve">：</w:t>
      </w:r>
      <w:r>
        <w:rPr>
          <w:rFonts w:hint="eastAsia"/>
          <w:sz w:val="24"/>
          <w:lang w:eastAsia="zh-CN"/>
        </w:rPr>
        <w:t xml:space="preserve">□</w:t>
      </w:r>
      <w:r>
        <w:rPr>
          <w:sz w:val="24"/>
        </w:rPr>
        <w:t xml:space="preserve">是  </w:t>
      </w:r>
      <w:r>
        <w:rPr>
          <w:rFonts w:hint="eastAsia" w:ascii="宋体" w:hAnsi="宋体" w:cs="宋体"/>
          <w:sz w:val="24"/>
        </w:rPr>
        <w:t xml:space="preserve">■</w:t>
      </w:r>
      <w:r>
        <w:rPr>
          <w:sz w:val="24"/>
        </w:rPr>
        <w:t xml:space="preserve">否。</w:t>
      </w:r>
      <w:r>
        <w:rPr>
          <w:sz w:val="24"/>
        </w:rPr>
      </w:r>
      <w:r/>
    </w:p>
    <w:p>
      <w:pPr>
        <w:pStyle w:val="107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Pr>
          <w:rFonts w:ascii="Times New Roman" w:hAnsi="Times New Roman" w:eastAsia="宋体"/>
          <w:sz w:val="24"/>
          <w:szCs w:val="24"/>
        </w:rPr>
      </w:r>
      <w:r/>
    </w:p>
    <w:p>
      <w:pPr>
        <w:pStyle w:val="1070"/>
        <w:ind w:firstLine="480"/>
        <w:spacing w:line="360" w:lineRule="auto"/>
        <w:rPr>
          <w:rFonts w:hint="eastAsia"/>
          <w:sz w:val="24"/>
        </w:rPr>
      </w:pPr>
      <w:r/>
      <w:bookmarkStart w:id="11" w:name="_Toc28359004"/>
      <w:r/>
      <w:bookmarkStart w:id="12" w:name="_Toc28359081"/>
      <w:r>
        <w:rPr>
          <w:sz w:val="24"/>
        </w:rPr>
        <w:t xml:space="preserve">1.满足《中华人民共和国政府采购法》第二十二条规定</w:t>
      </w:r>
      <w:r>
        <w:rPr>
          <w:rFonts w:hint="eastAsia"/>
          <w:sz w:val="24"/>
        </w:rPr>
        <w:t xml:space="preserve">以及下列情形：</w:t>
      </w:r>
      <w:r>
        <w:rPr>
          <w:rFonts w:hint="eastAsia"/>
          <w:sz w:val="24"/>
        </w:rPr>
      </w:r>
      <w:r/>
    </w:p>
    <w:p>
      <w:pPr>
        <w:pStyle w:val="1070"/>
        <w:ind w:firstLine="480"/>
        <w:spacing w:line="360" w:lineRule="auto"/>
        <w:rPr>
          <w:sz w:val="24"/>
        </w:rPr>
      </w:pPr>
      <w:r>
        <w:rPr>
          <w:rFonts w:hint="eastAsia"/>
          <w:sz w:val="24"/>
        </w:rPr>
        <w:t xml:space="preserve">1.1未被“信用中国”网站（WWW.creditchina.gov.cn）</w:t>
      </w:r>
      <w:r>
        <w:rPr>
          <w:rFonts w:hint="eastAsia"/>
          <w:sz w:val="24"/>
          <w:lang w:val="en-US" w:eastAsia="zh-CN"/>
        </w:rPr>
        <w:t xml:space="preserve">和</w:t>
      </w:r>
      <w:r>
        <w:rPr>
          <w:rFonts w:hint="eastAsia"/>
          <w:sz w:val="24"/>
        </w:rPr>
        <w:t xml:space="preserve">“中国政府采购网”网站（www.ccgp.gov.cn）列入失信被执行人、重大税收违法案件当事人名单、政府采购严重失信行为记录名单；</w:t>
      </w:r>
      <w:r>
        <w:rPr>
          <w:sz w:val="24"/>
        </w:rPr>
      </w:r>
      <w:r/>
    </w:p>
    <w:p>
      <w:pPr>
        <w:pStyle w:val="1070"/>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070"/>
        <w:ind w:firstLine="480"/>
        <w:spacing w:line="360" w:lineRule="auto"/>
        <w:rPr>
          <w:sz w:val="24"/>
        </w:rPr>
      </w:pPr>
      <w:r>
        <w:rPr>
          <w:sz w:val="24"/>
        </w:rPr>
        <w:t xml:space="preserve">2.落实政府采购政策需满足的资格要求：</w:t>
      </w:r>
      <w:r>
        <w:rPr>
          <w:sz w:val="24"/>
        </w:rPr>
      </w:r>
      <w:r/>
    </w:p>
    <w:p>
      <w:pPr>
        <w:pStyle w:val="1070"/>
        <w:ind w:firstLine="480"/>
        <w:spacing w:line="360" w:lineRule="auto"/>
        <w:rPr>
          <w:sz w:val="24"/>
        </w:rPr>
      </w:pPr>
      <w:r>
        <w:rPr>
          <w:sz w:val="24"/>
        </w:rPr>
        <w:t xml:space="preserve">2.1 中小企业政策</w:t>
      </w:r>
      <w:r>
        <w:rPr>
          <w:sz w:val="24"/>
        </w:rPr>
      </w:r>
      <w:r/>
    </w:p>
    <w:p>
      <w:pPr>
        <w:pStyle w:val="1070"/>
        <w:ind w:firstLine="420"/>
        <w:spacing w:line="360" w:lineRule="auto"/>
        <w:rPr>
          <w:sz w:val="24"/>
          <w:highlight w:val="none"/>
        </w:rPr>
      </w:pPr>
      <w:r>
        <w:rPr>
          <w:highlight w:val="none"/>
        </w:rPr>
        <w:t xml:space="preserve">□</w:t>
      </w:r>
      <w:r>
        <w:rPr>
          <w:sz w:val="24"/>
          <w:highlight w:val="none"/>
        </w:rPr>
        <w:t xml:space="preserve">本项目不专门面向中小企业预留采购份额。</w:t>
      </w:r>
      <w:r>
        <w:rPr>
          <w:sz w:val="24"/>
          <w:highlight w:val="none"/>
        </w:rPr>
      </w:r>
      <w:r/>
    </w:p>
    <w:p>
      <w:pPr>
        <w:pStyle w:val="1070"/>
        <w:ind w:firstLine="480"/>
        <w:spacing w:line="360" w:lineRule="auto"/>
        <w:rPr>
          <w:rFonts w:hint="eastAsia" w:eastAsia="宋体"/>
          <w:b/>
          <w:bCs/>
          <w:sz w:val="24"/>
          <w:lang w:val="en-US" w:eastAsia="zh-CN"/>
        </w:rPr>
      </w:pPr>
      <w:r>
        <w:rPr>
          <w:rFonts w:hint="eastAsia" w:ascii="宋体" w:hAnsi="宋体" w:cs="宋体"/>
          <w:sz w:val="24"/>
          <w:highlight w:val="none"/>
        </w:rPr>
        <w:t xml:space="preserve">■</w:t>
      </w:r>
      <w:r>
        <w:rPr>
          <w:sz w:val="24"/>
          <w:highlight w:val="none"/>
        </w:rPr>
        <w:t xml:space="preserve">本项目专门面向  </w:t>
      </w:r>
      <w:r>
        <w:rPr>
          <w:rFonts w:hint="eastAsia" w:ascii="宋体" w:hAnsi="宋体" w:cs="宋体"/>
          <w:sz w:val="24"/>
          <w:highlight w:val="none"/>
        </w:rPr>
        <w:t xml:space="preserve">■</w:t>
      </w:r>
      <w:r>
        <w:rPr>
          <w:sz w:val="24"/>
          <w:highlight w:val="none"/>
        </w:rPr>
        <w:t xml:space="preserve">中小 </w:t>
      </w:r>
      <w:r>
        <w:rPr>
          <w:rFonts w:ascii="Wingdings 2" w:hAnsi="Wingdings 2" w:eastAsia="Wingdings 2" w:cs="Wingdings 2"/>
          <w:highlight w:val="none"/>
        </w:rPr>
        <w:t xml:space="preserve">£</w:t>
      </w:r>
      <w:r>
        <w:rPr>
          <w:sz w:val="24"/>
          <w:highlight w:val="none"/>
        </w:rPr>
        <w:t xml:space="preserve">小微</w:t>
      </w:r>
      <w:r>
        <w:rPr>
          <w:rFonts w:hint="eastAsia"/>
          <w:sz w:val="24"/>
          <w:highlight w:val="none"/>
        </w:rPr>
        <w:t xml:space="preserve"> </w:t>
      </w:r>
      <w:r>
        <w:rPr>
          <w:sz w:val="24"/>
        </w:rPr>
        <w:t xml:space="preserve">企业  采购。即：提供的货物全部由符合政策要求的中小/小微企业制造、服务全部由符合政策要求的中小/小微企业承接。</w:t>
      </w:r>
      <w:r>
        <w:rPr>
          <w:rFonts w:hint="eastAsia"/>
          <w:b/>
          <w:bCs/>
          <w:sz w:val="24"/>
        </w:rPr>
        <w:t xml:space="preserve">监狱企业和残疾人福利单位视同小微企业</w:t>
      </w:r>
      <w:r>
        <w:rPr>
          <w:rFonts w:hint="eastAsia"/>
          <w:b/>
          <w:bCs/>
          <w:sz w:val="24"/>
          <w:lang w:eastAsia="zh-CN"/>
        </w:rPr>
        <w:t xml:space="preserve">。</w:t>
      </w:r>
      <w:r>
        <w:rPr>
          <w:rFonts w:hint="eastAsia" w:eastAsia="宋体"/>
          <w:b/>
          <w:bCs/>
          <w:sz w:val="24"/>
          <w:lang w:val="en-US" w:eastAsia="zh-CN"/>
        </w:rPr>
      </w:r>
      <w:r/>
    </w:p>
    <w:p>
      <w:pPr>
        <w:pStyle w:val="1070"/>
        <w:ind w:firstLine="420"/>
        <w:spacing w:line="360" w:lineRule="auto"/>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 xml:space="preserve">。</w:t>
      </w:r>
      <w:r>
        <w:rPr>
          <w:sz w:val="24"/>
        </w:rPr>
      </w:r>
      <w:r/>
    </w:p>
    <w:p>
      <w:pPr>
        <w:pStyle w:val="1070"/>
        <w:ind w:firstLine="480"/>
        <w:spacing w:line="360" w:lineRule="auto"/>
        <w:rPr>
          <w:sz w:val="24"/>
        </w:rPr>
      </w:pPr>
      <w:r>
        <w:rPr>
          <w:sz w:val="24"/>
        </w:rPr>
        <w:t xml:space="preserve">2.2 其它落实政府采购政策的资格要求（如有）：</w:t>
      </w:r>
      <w:r>
        <w:rPr>
          <w:rFonts w:hint="eastAsia"/>
          <w:sz w:val="24"/>
          <w:u w:val="single"/>
        </w:rPr>
        <w:t xml:space="preserve">  /  </w:t>
      </w:r>
      <w:r>
        <w:rPr>
          <w:rFonts w:hint="eastAsia"/>
          <w:sz w:val="24"/>
        </w:rPr>
        <w:t xml:space="preserve"> 。</w:t>
      </w:r>
      <w:r>
        <w:rPr>
          <w:sz w:val="24"/>
        </w:rPr>
      </w:r>
      <w:r/>
    </w:p>
    <w:p>
      <w:pPr>
        <w:pStyle w:val="1070"/>
        <w:ind w:firstLine="480"/>
        <w:spacing w:line="360" w:lineRule="auto"/>
        <w:rPr>
          <w:i/>
          <w:iCs/>
          <w:sz w:val="24"/>
          <w:u w:val="single"/>
        </w:rPr>
      </w:pPr>
      <w:r>
        <w:rPr>
          <w:sz w:val="24"/>
        </w:rPr>
        <w:t xml:space="preserve">3.本项目的特定资格要求：</w:t>
      </w:r>
      <w:r>
        <w:rPr>
          <w:i/>
          <w:iCs/>
          <w:sz w:val="24"/>
          <w:u w:val="single"/>
        </w:rPr>
      </w:r>
      <w:r/>
    </w:p>
    <w:p>
      <w:pPr>
        <w:pStyle w:val="1070"/>
        <w:ind w:firstLine="480"/>
        <w:spacing w:line="360" w:lineRule="auto"/>
        <w:tabs>
          <w:tab w:val="left" w:pos="900" w:leader="none"/>
          <w:tab w:val="left" w:pos="1134" w:leader="none"/>
          <w:tab w:val="left" w:pos="1589" w:leader="none"/>
          <w:tab w:val="left" w:pos="5521" w:leader="none"/>
        </w:tabs>
        <w:rPr>
          <w:color w:val="ff0000"/>
          <w:sz w:val="24"/>
        </w:rPr>
      </w:pPr>
      <w:r>
        <w:rPr>
          <w:sz w:val="24"/>
        </w:rPr>
        <w:t xml:space="preserve">3.1本项目是否接受分支机构参与响应：</w:t>
      </w:r>
      <w:r>
        <w:t xml:space="preserve">□</w:t>
      </w:r>
      <w:r>
        <w:rPr>
          <w:sz w:val="24"/>
        </w:rPr>
        <w:t xml:space="preserve">是   </w:t>
      </w:r>
      <w:r>
        <w:rPr>
          <w:rFonts w:hint="eastAsia" w:ascii="宋体" w:hAnsi="宋体" w:cs="宋体"/>
          <w:sz w:val="24"/>
        </w:rPr>
        <w:t xml:space="preserve">■</w:t>
      </w:r>
      <w:r>
        <w:rPr>
          <w:sz w:val="24"/>
        </w:rPr>
        <w:t xml:space="preserve">否；</w:t>
      </w:r>
      <w:r>
        <w:rPr>
          <w:color w:val="ff0000"/>
          <w:sz w:val="24"/>
        </w:rPr>
      </w:r>
      <w:r/>
    </w:p>
    <w:p>
      <w:pPr>
        <w:pStyle w:val="1070"/>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1070"/>
        <w:ind w:left="991" w:firstLine="2"/>
        <w:spacing w:line="360" w:lineRule="auto"/>
        <w:tabs>
          <w:tab w:val="left" w:pos="900" w:leader="none"/>
          <w:tab w:val="left" w:pos="1134" w:leader="none"/>
          <w:tab w:val="left" w:pos="1589" w:leader="none"/>
          <w:tab w:val="left" w:pos="5521" w:leader="none"/>
        </w:tabs>
        <w:rPr>
          <w:sz w:val="24"/>
        </w:rPr>
      </w:pPr>
      <w:r>
        <w:rPr>
          <w:rFonts w:ascii="Wingdings 2" w:hAnsi="Wingdings 2" w:eastAsia="Wingdings 2" w:cs="Wingdings 2"/>
        </w:rPr>
        <w:t xml:space="preserve">£</w:t>
      </w:r>
      <w:r>
        <w:rPr>
          <w:sz w:val="24"/>
        </w:rPr>
        <w:t xml:space="preserve">否</w:t>
      </w:r>
      <w:r>
        <w:rPr>
          <w:rFonts w:hint="eastAsia"/>
          <w:sz w:val="24"/>
          <w:lang w:val="en-US" w:eastAsia="zh-CN"/>
        </w:rPr>
        <w:t xml:space="preserve">   </w:t>
      </w:r>
      <w:r>
        <w:rPr>
          <w:rFonts w:hint="eastAsia" w:ascii="宋体" w:hAnsi="宋体" w:cs="宋体"/>
          <w:sz w:val="24"/>
        </w:rPr>
        <w:t xml:space="preserve">■</w:t>
      </w:r>
      <w:r>
        <w:rPr>
          <w:sz w:val="24"/>
        </w:rPr>
        <w:t xml:space="preserve">是，公益一类事业单位、使用事业编制且由财政拨款保障的群团组织，不得作为承接主体；</w:t>
      </w:r>
      <w:r>
        <w:rPr>
          <w:sz w:val="24"/>
        </w:rPr>
      </w:r>
      <w:r/>
    </w:p>
    <w:p>
      <w:pPr>
        <w:pStyle w:val="1070"/>
        <w:ind w:firstLine="480"/>
        <w:spacing w:line="360" w:lineRule="auto"/>
        <w:rPr>
          <w:rFonts w:hint="eastAsia" w:ascii="Times New Roman" w:hAnsi="Times New Roman" w:eastAsia="宋体" w:cs="Times New Roman"/>
          <w:b/>
          <w:bCs/>
          <w:sz w:val="24"/>
          <w:highlight w:val="none"/>
          <w:lang w:eastAsia="zh-CN"/>
        </w:rPr>
      </w:pPr>
      <w:r>
        <w:rPr>
          <w:sz w:val="24"/>
        </w:rPr>
        <w:t xml:space="preserve">3.3其他特定资格要求：</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lang w:eastAsia="zh-CN"/>
        </w:rPr>
      </w:r>
      <w:r/>
    </w:p>
    <w:p>
      <w:pPr>
        <w:pStyle w:val="1072"/>
        <w:jc w:val="left"/>
        <w:spacing w:before="0" w:line="360" w:lineRule="auto"/>
        <w:widowControl/>
        <w:rPr>
          <w:rFonts w:ascii="Times New Roman" w:hAnsi="Times New Roman" w:eastAsia="宋体"/>
          <w:sz w:val="24"/>
          <w:szCs w:val="24"/>
        </w:rPr>
      </w:pPr>
      <w:r/>
      <w:bookmarkEnd w:id="11"/>
      <w:r/>
      <w:bookmarkEnd w:id="12"/>
      <w:r/>
      <w:bookmarkStart w:id="13" w:name="_Toc35393623"/>
      <w:r/>
      <w:bookmarkStart w:id="14" w:name="_Toc35393792"/>
      <w:r>
        <w:rPr>
          <w:rFonts w:ascii="Times New Roman" w:hAnsi="Times New Roman" w:eastAsia="宋体"/>
          <w:sz w:val="24"/>
          <w:szCs w:val="24"/>
        </w:rPr>
        <w:t xml:space="preserve">三、获取采购文件</w:t>
      </w:r>
      <w:bookmarkEnd w:id="13"/>
      <w:r/>
      <w:bookmarkEnd w:id="14"/>
      <w:r>
        <w:rPr>
          <w:rFonts w:ascii="Times New Roman" w:hAnsi="Times New Roman" w:eastAsia="宋体"/>
          <w:sz w:val="24"/>
          <w:szCs w:val="24"/>
        </w:rPr>
      </w:r>
      <w:r/>
    </w:p>
    <w:p>
      <w:pPr>
        <w:pStyle w:val="1070"/>
        <w:ind w:firstLine="480"/>
        <w:spacing w:line="360" w:lineRule="auto"/>
        <w:rPr>
          <w:sz w:val="24"/>
          <w:highlight w:val="yellow"/>
          <w:lang w:bidi="ar"/>
        </w:rPr>
      </w:pPr>
      <w:r>
        <w:rPr>
          <w:sz w:val="24"/>
          <w:lang w:bidi="ar"/>
        </w:rPr>
        <w:t xml:space="preserve">1.时间：</w:t>
      </w:r>
      <w:r>
        <w:rPr>
          <w:rFonts w:hint="eastAsia"/>
          <w:sz w:val="24"/>
        </w:rPr>
        <w:t xml:space="preserve">2</w:t>
      </w:r>
      <w:r>
        <w:rPr>
          <w:rFonts w:hint="eastAsia"/>
          <w:sz w:val="24"/>
          <w:highlight w:val="none"/>
        </w:rPr>
        <w:t xml:space="preserve">02</w:t>
      </w:r>
      <w:r>
        <w:rPr>
          <w:rFonts w:hint="eastAsia"/>
          <w:sz w:val="24"/>
          <w:highlight w:val="none"/>
          <w:lang w:val="en-US" w:eastAsia="zh-CN"/>
        </w:rPr>
        <w:t xml:space="preserve">5</w:t>
      </w:r>
      <w:r>
        <w:rPr>
          <w:sz w:val="24"/>
          <w:highlight w:val="none"/>
          <w:lang w:bidi="ar"/>
        </w:rPr>
        <w:t xml:space="preserve">年</w:t>
      </w:r>
      <w:r>
        <w:rPr>
          <w:rFonts w:hint="eastAsia"/>
          <w:sz w:val="24"/>
          <w:highlight w:val="none"/>
          <w:lang w:val="en-US" w:eastAsia="zh-CN" w:bidi="ar"/>
        </w:rPr>
        <w:t xml:space="preserve">11</w:t>
      </w:r>
      <w:r>
        <w:rPr>
          <w:sz w:val="24"/>
          <w:highlight w:val="none"/>
          <w:lang w:bidi="ar"/>
        </w:rPr>
        <w:t xml:space="preserve">月</w:t>
      </w:r>
      <w:r>
        <w:rPr>
          <w:rFonts w:hint="eastAsia"/>
          <w:sz w:val="24"/>
          <w:highlight w:val="none"/>
          <w:lang w:val="en-US" w:eastAsia="zh-CN" w:bidi="ar"/>
        </w:rPr>
        <w:t xml:space="preserve">27</w:t>
      </w:r>
      <w:r>
        <w:rPr>
          <w:sz w:val="24"/>
          <w:highlight w:val="none"/>
          <w:lang w:bidi="ar"/>
        </w:rPr>
        <w:t xml:space="preserve">日至</w:t>
      </w:r>
      <w:r>
        <w:rPr>
          <w:rFonts w:hint="eastAsia"/>
          <w:sz w:val="24"/>
          <w:highlight w:val="none"/>
        </w:rPr>
        <w:t xml:space="preserve">202</w:t>
      </w:r>
      <w:r>
        <w:rPr>
          <w:rFonts w:hint="eastAsia"/>
          <w:sz w:val="24"/>
          <w:highlight w:val="none"/>
          <w:lang w:val="en-US" w:eastAsia="zh-CN"/>
        </w:rPr>
        <w:t xml:space="preserve">5</w:t>
      </w:r>
      <w:r>
        <w:rPr>
          <w:sz w:val="24"/>
          <w:highlight w:val="none"/>
          <w:lang w:bidi="ar"/>
        </w:rPr>
        <w:t xml:space="preserve">年</w:t>
      </w:r>
      <w:r>
        <w:rPr>
          <w:rFonts w:hint="eastAsia"/>
          <w:sz w:val="24"/>
          <w:highlight w:val="none"/>
          <w:lang w:val="en-US" w:eastAsia="zh-CN"/>
        </w:rPr>
        <w:t xml:space="preserve">12</w:t>
      </w:r>
      <w:r>
        <w:rPr>
          <w:sz w:val="24"/>
          <w:highlight w:val="none"/>
          <w:lang w:bidi="ar"/>
        </w:rPr>
        <w:t xml:space="preserve">月</w:t>
      </w:r>
      <w:r>
        <w:rPr>
          <w:rFonts w:hint="eastAsia"/>
          <w:sz w:val="24"/>
          <w:highlight w:val="none"/>
          <w:lang w:val="en-US" w:eastAsia="zh-CN"/>
        </w:rPr>
        <w:t xml:space="preserve">3</w:t>
      </w:r>
      <w:r>
        <w:rPr>
          <w:sz w:val="24"/>
          <w:highlight w:val="none"/>
          <w:lang w:bidi="ar"/>
        </w:rPr>
        <w:t xml:space="preserve">日。</w:t>
      </w:r>
      <w:r>
        <w:rPr>
          <w:sz w:val="24"/>
          <w:highlight w:val="yellow"/>
          <w:lang w:bidi="ar"/>
        </w:rPr>
      </w:r>
      <w:r/>
    </w:p>
    <w:p>
      <w:pPr>
        <w:pStyle w:val="1070"/>
        <w:ind w:firstLine="480"/>
        <w:spacing w:line="360" w:lineRule="auto"/>
        <w:rPr>
          <w:rFonts w:hint="eastAsia" w:ascii="宋体" w:hAnsi="宋体" w:cs="宋体"/>
          <w:sz w:val="24"/>
        </w:rPr>
      </w:pPr>
      <w:r>
        <w:rPr>
          <w:rFonts w:hint="eastAsia" w:ascii="宋体" w:hAnsi="宋体" w:cs="宋体"/>
          <w:sz w:val="24"/>
          <w:lang w:bidi="ar"/>
        </w:rPr>
        <w:t xml:space="preserve">2.地点：</w:t>
      </w:r>
      <w:r>
        <w:rPr>
          <w:rFonts w:hint="eastAsia" w:ascii="宋体" w:hAnsi="宋体"/>
          <w:sz w:val="24"/>
        </w:rPr>
        <w:t xml:space="preserve">“苏采云”政府采购一体化平台</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lang w:bidi="ar"/>
        </w:rPr>
        <w:t xml:space="preserve">3.方式：</w:t>
      </w:r>
      <w:r>
        <w:rPr>
          <w:rFonts w:hint="eastAsia" w:ascii="宋体" w:hAnsi="宋体"/>
          <w:sz w:val="24"/>
        </w:rPr>
        <w:t xml:space="preserve">供应商持CA数字认证证书登录“苏采云”政府采购一体化平台（http://jszfcg.jsczt.cn/jszc/login）获取电子版采购文件</w:t>
      </w:r>
      <w:r>
        <w:rPr>
          <w:rFonts w:hint="eastAsia" w:ascii="宋体" w:hAnsi="宋体" w:cs="宋体"/>
          <w:sz w:val="24"/>
        </w:rPr>
        <w:t xml:space="preserve">。</w:t>
      </w:r>
      <w:r>
        <w:rPr>
          <w:rFonts w:hint="eastAsia" w:ascii="宋体" w:hAnsi="宋体" w:cs="宋体"/>
          <w:sz w:val="24"/>
        </w:rPr>
      </w:r>
      <w:r/>
    </w:p>
    <w:p>
      <w:pPr>
        <w:pStyle w:val="1070"/>
        <w:ind w:firstLine="480"/>
        <w:spacing w:line="360" w:lineRule="auto"/>
        <w:rPr>
          <w:rFonts w:hint="eastAsia" w:ascii="宋体" w:hAnsi="宋体" w:cs="仿宋"/>
          <w:sz w:val="24"/>
          <w:lang w:bidi="ar"/>
        </w:rPr>
      </w:pPr>
      <w:r>
        <w:rPr>
          <w:rFonts w:hint="eastAsia"/>
          <w:sz w:val="24"/>
          <w:lang w:bidi="ar"/>
        </w:rPr>
        <w:t xml:space="preserve">4.售价：0元/份</w:t>
      </w:r>
      <w:r>
        <w:rPr>
          <w:rFonts w:hint="eastAsia" w:ascii="宋体" w:hAnsi="宋体" w:cs="宋体"/>
          <w:sz w:val="24"/>
          <w:lang w:bidi="ar"/>
        </w:rPr>
        <w:t xml:space="preserve">。</w:t>
      </w:r>
      <w:r>
        <w:rPr>
          <w:rFonts w:hint="eastAsia" w:ascii="宋体" w:hAnsi="宋体" w:cs="仿宋"/>
          <w:sz w:val="24"/>
          <w:lang w:bidi="ar"/>
        </w:rPr>
      </w:r>
      <w:r/>
    </w:p>
    <w:p>
      <w:pPr>
        <w:pStyle w:val="1072"/>
        <w:jc w:val="left"/>
        <w:spacing w:before="0" w:line="360" w:lineRule="auto"/>
        <w:widowControl/>
        <w:rPr>
          <w:rFonts w:ascii="Times New Roman" w:hAnsi="Times New Roman" w:eastAsia="宋体"/>
          <w:sz w:val="24"/>
          <w:szCs w:val="24"/>
        </w:rPr>
      </w:pPr>
      <w:r/>
      <w:bookmarkStart w:id="15" w:name="_Toc35393793"/>
      <w:r/>
      <w:bookmarkStart w:id="16" w:name="_Toc28359005"/>
      <w:r/>
      <w:bookmarkStart w:id="17" w:name="_Toc35393624"/>
      <w:r/>
      <w:bookmarkStart w:id="18" w:name="_Toc28359082"/>
      <w:r>
        <w:rPr>
          <w:rFonts w:ascii="Times New Roman" w:hAnsi="Times New Roman" w:eastAsia="宋体"/>
          <w:sz w:val="24"/>
          <w:szCs w:val="24"/>
        </w:rPr>
        <w:t xml:space="preserve">四、</w:t>
      </w:r>
      <w:bookmarkEnd w:id="15"/>
      <w:r/>
      <w:bookmarkEnd w:id="16"/>
      <w:r/>
      <w:bookmarkEnd w:id="17"/>
      <w:r/>
      <w:bookmarkEnd w:id="18"/>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1070"/>
        <w:ind w:firstLine="480"/>
        <w:spacing w:line="360" w:lineRule="auto"/>
        <w:rPr>
          <w:bCs/>
          <w:sz w:val="24"/>
          <w:highlight w:val="yellow"/>
          <w:u w:val="single"/>
        </w:rPr>
      </w:pPr>
      <w:r>
        <w:rPr>
          <w:sz w:val="24"/>
          <w:lang w:bidi="ar"/>
        </w:rPr>
        <w:t xml:space="preserve">截止时间：</w:t>
      </w:r>
      <w:r>
        <w:rPr>
          <w:rFonts w:hint="eastAsia"/>
          <w:sz w:val="24"/>
          <w:highlight w:val="none"/>
        </w:rPr>
        <w:t xml:space="preserve">202</w:t>
      </w:r>
      <w:r>
        <w:rPr>
          <w:rFonts w:hint="eastAsia"/>
          <w:sz w:val="24"/>
          <w:highlight w:val="none"/>
          <w:lang w:val="en-US" w:eastAsia="zh-CN"/>
        </w:rPr>
        <w:t xml:space="preserve">5</w:t>
      </w:r>
      <w:r>
        <w:rPr>
          <w:sz w:val="24"/>
          <w:highlight w:val="none"/>
          <w:lang w:bidi="ar"/>
        </w:rPr>
        <w:t xml:space="preserve">年</w:t>
      </w:r>
      <w:r>
        <w:rPr>
          <w:rFonts w:hint="eastAsia"/>
          <w:sz w:val="24"/>
          <w:highlight w:val="none"/>
          <w:lang w:val="en-US" w:eastAsia="zh-CN"/>
        </w:rPr>
        <w:t xml:space="preserve">12</w:t>
      </w:r>
      <w:r>
        <w:rPr>
          <w:sz w:val="24"/>
          <w:highlight w:val="none"/>
          <w:lang w:bidi="ar"/>
        </w:rPr>
        <w:t xml:space="preserve">月</w:t>
      </w:r>
      <w:r>
        <w:rPr>
          <w:rFonts w:hint="eastAsia"/>
          <w:sz w:val="24"/>
          <w:highlight w:val="none"/>
          <w:lang w:val="en-US" w:eastAsia="zh-CN"/>
        </w:rPr>
        <w:t xml:space="preserve">9</w:t>
      </w:r>
      <w:r>
        <w:rPr>
          <w:sz w:val="24"/>
          <w:highlight w:val="none"/>
          <w:lang w:bidi="ar"/>
        </w:rPr>
        <w:t xml:space="preserve">日</w:t>
      </w:r>
      <w:r>
        <w:rPr>
          <w:rFonts w:hint="eastAsia"/>
          <w:sz w:val="24"/>
          <w:highlight w:val="none"/>
          <w:lang w:val="en-US" w:eastAsia="zh-CN"/>
        </w:rPr>
        <w:t xml:space="preserve">9</w:t>
      </w:r>
      <w:r>
        <w:rPr>
          <w:sz w:val="24"/>
          <w:highlight w:val="none"/>
          <w:lang w:bidi="ar"/>
        </w:rPr>
        <w:t xml:space="preserve">点</w:t>
      </w:r>
      <w:r>
        <w:rPr>
          <w:rFonts w:hint="eastAsia"/>
          <w:sz w:val="24"/>
          <w:highlight w:val="none"/>
        </w:rPr>
        <w:t xml:space="preserve">30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yellow"/>
          <w:u w:val="single"/>
        </w:rPr>
      </w:r>
      <w:r/>
    </w:p>
    <w:p>
      <w:pPr>
        <w:pStyle w:val="1070"/>
        <w:ind w:firstLine="480"/>
        <w:spacing w:line="360" w:lineRule="auto"/>
        <w:rPr>
          <w:rFonts w:hint="eastAsia"/>
          <w:sz w:val="24"/>
          <w:lang w:val="zh-TW" w:bidi="ar"/>
        </w:rPr>
      </w:pPr>
      <w:r>
        <w:rPr>
          <w:sz w:val="24"/>
          <w:lang w:bidi="ar"/>
        </w:rPr>
        <w:t xml:space="preserve">地点：</w:t>
      </w:r>
      <w:r>
        <w:rPr>
          <w:rFonts w:hint="eastAsia" w:ascii="宋体" w:hAnsi="宋体"/>
          <w:sz w:val="24"/>
        </w:rPr>
        <w:t xml:space="preserve">供应商持CA数字认证证书登录“苏采云”政府采购一体化平台（http://jszfcg.jsczt.cn/jszc/login）获取电子版磋商文件。</w:t>
      </w:r>
      <w:r>
        <w:rPr>
          <w:rFonts w:hint="eastAsia"/>
          <w:sz w:val="24"/>
          <w:lang w:val="zh-TW" w:bidi="ar"/>
        </w:rPr>
      </w:r>
      <w:r/>
    </w:p>
    <w:p>
      <w:pPr>
        <w:pStyle w:val="107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五、开启</w:t>
      </w:r>
      <w:r>
        <w:rPr>
          <w:rFonts w:ascii="Times New Roman" w:hAnsi="Times New Roman" w:eastAsia="宋体"/>
          <w:sz w:val="24"/>
          <w:szCs w:val="24"/>
        </w:rPr>
      </w:r>
      <w:r/>
    </w:p>
    <w:p>
      <w:pPr>
        <w:pStyle w:val="1070"/>
        <w:ind w:firstLine="480"/>
        <w:spacing w:line="360" w:lineRule="auto"/>
        <w:rPr>
          <w:bCs/>
          <w:sz w:val="24"/>
          <w:u w:val="single"/>
        </w:rPr>
      </w:pPr>
      <w:r>
        <w:rPr>
          <w:sz w:val="24"/>
          <w:lang w:bidi="ar"/>
        </w:rPr>
        <w:t xml:space="preserve">时间：</w:t>
      </w:r>
      <w:r>
        <w:rPr>
          <w:rFonts w:hint="eastAsia"/>
          <w:sz w:val="24"/>
          <w:highlight w:val="none"/>
        </w:rPr>
        <w:t xml:space="preserve">202</w:t>
      </w:r>
      <w:r>
        <w:rPr>
          <w:rFonts w:hint="eastAsia"/>
          <w:sz w:val="24"/>
          <w:highlight w:val="none"/>
          <w:lang w:val="en-US" w:eastAsia="zh-CN"/>
        </w:rPr>
        <w:t xml:space="preserve">5</w:t>
      </w:r>
      <w:r>
        <w:rPr>
          <w:sz w:val="24"/>
          <w:highlight w:val="none"/>
          <w:lang w:bidi="ar"/>
        </w:rPr>
        <w:t xml:space="preserve">年</w:t>
      </w:r>
      <w:r>
        <w:rPr>
          <w:rFonts w:hint="eastAsia"/>
          <w:sz w:val="24"/>
          <w:highlight w:val="none"/>
          <w:lang w:val="en-US" w:eastAsia="zh-CN"/>
        </w:rPr>
        <w:t xml:space="preserve">12</w:t>
      </w:r>
      <w:r>
        <w:rPr>
          <w:sz w:val="24"/>
          <w:highlight w:val="none"/>
          <w:lang w:bidi="ar"/>
        </w:rPr>
        <w:t xml:space="preserve">月</w:t>
      </w:r>
      <w:r>
        <w:rPr>
          <w:rFonts w:hint="eastAsia"/>
          <w:sz w:val="24"/>
          <w:highlight w:val="none"/>
          <w:lang w:val="en-US" w:eastAsia="zh-CN"/>
        </w:rPr>
        <w:t xml:space="preserve">9</w:t>
      </w:r>
      <w:r>
        <w:rPr>
          <w:sz w:val="24"/>
          <w:highlight w:val="none"/>
          <w:lang w:bidi="ar"/>
        </w:rPr>
        <w:t xml:space="preserve">日</w:t>
      </w:r>
      <w:r>
        <w:rPr>
          <w:rFonts w:hint="eastAsia"/>
          <w:sz w:val="24"/>
          <w:highlight w:val="none"/>
          <w:lang w:val="en-US" w:eastAsia="zh-CN"/>
        </w:rPr>
        <w:t xml:space="preserve">9</w:t>
      </w:r>
      <w:r>
        <w:rPr>
          <w:sz w:val="24"/>
          <w:highlight w:val="none"/>
          <w:lang w:bidi="ar"/>
        </w:rPr>
        <w:t xml:space="preserve">点</w:t>
      </w:r>
      <w:r>
        <w:rPr>
          <w:rFonts w:hint="eastAsia"/>
          <w:sz w:val="24"/>
          <w:highlight w:val="none"/>
        </w:rPr>
        <w:t xml:space="preserve">30</w:t>
      </w:r>
      <w:r>
        <w:rPr>
          <w:sz w:val="24"/>
          <w:highlight w:val="none"/>
          <w:lang w:bidi="ar"/>
        </w:rPr>
        <w:t xml:space="preserve">分</w:t>
      </w:r>
      <w:r>
        <w:rPr>
          <w:bCs/>
          <w:sz w:val="24"/>
          <w:highlight w:val="none"/>
          <w:lang w:bidi="ar"/>
        </w:rPr>
        <w:t xml:space="preserve">（北京时间）</w:t>
      </w:r>
      <w:r>
        <w:rPr>
          <w:iCs/>
          <w:sz w:val="24"/>
          <w:lang w:bidi="ar"/>
        </w:rPr>
        <w:t xml:space="preserve">。</w:t>
      </w:r>
      <w:r>
        <w:rPr>
          <w:bCs/>
          <w:sz w:val="24"/>
          <w:u w:val="single"/>
        </w:rPr>
      </w:r>
      <w:r/>
    </w:p>
    <w:p>
      <w:pPr>
        <w:pStyle w:val="1070"/>
        <w:ind w:firstLine="480"/>
        <w:spacing w:line="360" w:lineRule="auto"/>
        <w:rPr>
          <w:sz w:val="24"/>
          <w:lang w:val="zh-TW" w:bidi="ar"/>
        </w:rPr>
      </w:pPr>
      <w:r>
        <w:rPr>
          <w:sz w:val="24"/>
          <w:lang w:bidi="ar"/>
        </w:rPr>
        <w:t xml:space="preserve">地点：</w:t>
      </w:r>
      <w:r>
        <w:rPr>
          <w:rFonts w:hint="eastAsia" w:ascii="宋体" w:hAnsi="宋体"/>
          <w:sz w:val="24"/>
        </w:rPr>
        <w:t xml:space="preserve">本项目采用不见面交易方式，无需到现场提交，供应商登录“苏采云”政府采购一体化平台供应商端，通过系统在线提交电子响应文件。</w:t>
      </w:r>
      <w:r>
        <w:rPr>
          <w:sz w:val="24"/>
          <w:lang w:val="zh-TW" w:bidi="ar"/>
        </w:rPr>
      </w:r>
      <w:r/>
    </w:p>
    <w:p>
      <w:pPr>
        <w:pStyle w:val="1072"/>
        <w:jc w:val="left"/>
        <w:spacing w:before="0" w:line="360" w:lineRule="auto"/>
        <w:rPr>
          <w:rFonts w:hint="eastAsia" w:ascii="Times New Roman" w:hAnsi="Times New Roman" w:eastAsia="宋体"/>
          <w:sz w:val="24"/>
          <w:szCs w:val="24"/>
        </w:rPr>
      </w:pPr>
      <w:r/>
      <w:bookmarkStart w:id="19" w:name="_Toc35393794"/>
      <w:r/>
      <w:bookmarkStart w:id="20" w:name="_Toc28359007"/>
      <w:r/>
      <w:bookmarkStart w:id="21" w:name="_Toc28359084"/>
      <w:r/>
      <w:bookmarkStart w:id="22" w:name="_Toc35393625"/>
      <w:r>
        <w:rPr>
          <w:rFonts w:ascii="Times New Roman" w:hAnsi="Times New Roman" w:eastAsia="宋体"/>
          <w:sz w:val="24"/>
          <w:szCs w:val="24"/>
        </w:rPr>
        <w:t xml:space="preserve">六、公告期限</w:t>
      </w:r>
      <w:bookmarkEnd w:id="19"/>
      <w:r/>
      <w:bookmarkEnd w:id="20"/>
      <w:r/>
      <w:bookmarkEnd w:id="21"/>
      <w:r/>
      <w:bookmarkEnd w:id="22"/>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1070"/>
        <w:ind w:firstLine="480"/>
        <w:spacing w:line="360" w:lineRule="auto"/>
        <w:rPr>
          <w:sz w:val="24"/>
        </w:rPr>
      </w:pPr>
      <w:r>
        <w:rPr>
          <w:sz w:val="24"/>
        </w:rPr>
        <w:t xml:space="preserve">自本公告发布之日起</w:t>
      </w:r>
      <w:r>
        <w:rPr>
          <w:rFonts w:hint="eastAsia"/>
          <w:sz w:val="24"/>
        </w:rPr>
        <w:t xml:space="preserve">5</w:t>
      </w:r>
      <w:r>
        <w:rPr>
          <w:sz w:val="24"/>
        </w:rPr>
        <w:t xml:space="preserve">个工作日。</w:t>
      </w:r>
      <w:r>
        <w:rPr>
          <w:sz w:val="24"/>
        </w:rPr>
      </w:r>
      <w:r/>
    </w:p>
    <w:p>
      <w:pPr>
        <w:pStyle w:val="1072"/>
        <w:jc w:val="left"/>
        <w:spacing w:before="0" w:line="360" w:lineRule="auto"/>
        <w:rPr>
          <w:rFonts w:ascii="Times New Roman" w:hAnsi="Times New Roman" w:eastAsia="宋体"/>
          <w:sz w:val="24"/>
          <w:szCs w:val="24"/>
        </w:rPr>
      </w:pPr>
      <w:r/>
      <w:bookmarkStart w:id="23" w:name="_Toc35393626"/>
      <w:r/>
      <w:bookmarkStart w:id="24" w:name="_Toc35393795"/>
      <w:r>
        <w:rPr>
          <w:rFonts w:ascii="Times New Roman" w:hAnsi="Times New Roman" w:eastAsia="宋体"/>
          <w:sz w:val="24"/>
          <w:szCs w:val="24"/>
        </w:rPr>
        <w:t xml:space="preserve">七、其他补充事宜</w:t>
      </w:r>
      <w:bookmarkEnd w:id="23"/>
      <w:r/>
      <w:bookmarkEnd w:id="24"/>
      <w:r>
        <w:rPr>
          <w:rFonts w:ascii="Times New Roman" w:hAnsi="Times New Roman" w:eastAsia="宋体"/>
          <w:sz w:val="24"/>
          <w:szCs w:val="24"/>
        </w:rPr>
      </w:r>
      <w:r/>
    </w:p>
    <w:p>
      <w:pPr>
        <w:pStyle w:val="1070"/>
        <w:ind w:firstLine="480"/>
        <w:spacing w:line="360" w:lineRule="auto"/>
        <w:rPr>
          <w:rFonts w:hint="eastAsia"/>
          <w:b/>
          <w:bCs/>
          <w:sz w:val="24"/>
        </w:rPr>
      </w:pPr>
      <w:r>
        <w:rPr>
          <w:rFonts w:hint="eastAsia" w:ascii="宋体" w:hAnsi="宋体" w:cs="宋体"/>
          <w:sz w:val="24"/>
        </w:rPr>
        <w:t xml:space="preserve">1.本项目需要落实的政府采购政策：</w:t>
      </w:r>
      <w:r>
        <w:rPr>
          <w:rFonts w:hint="eastAsia" w:ascii="宋体" w:hAnsi="宋体" w:cs="宋体"/>
          <w:b/>
          <w:bCs/>
          <w:sz w:val="24"/>
        </w:rPr>
        <w:t xml:space="preserve">扶持中小企业、监狱企业、残疾人福利企业</w:t>
      </w:r>
      <w:r>
        <w:rPr>
          <w:rFonts w:hint="eastAsia" w:ascii="宋体" w:hAnsi="宋体" w:cs="宋体"/>
          <w:sz w:val="24"/>
        </w:rPr>
        <w:t xml:space="preserve">。</w:t>
      </w:r>
      <w:r>
        <w:rPr>
          <w:rFonts w:hint="eastAsia"/>
          <w:b/>
          <w:bCs/>
          <w:sz w:val="24"/>
        </w:rPr>
      </w:r>
      <w:r/>
    </w:p>
    <w:p>
      <w:pPr>
        <w:pStyle w:val="1070"/>
        <w:ind w:firstLine="482"/>
        <w:spacing w:line="360" w:lineRule="auto"/>
        <w:rPr>
          <w:rFonts w:hint="eastAsia" w:ascii="宋体" w:hAnsi="宋体" w:cs="宋体"/>
          <w:sz w:val="24"/>
        </w:rPr>
      </w:pPr>
      <w:r>
        <w:rPr>
          <w:rFonts w:hint="eastAsia" w:ascii="宋体" w:hAnsi="宋体" w:cs="宋体"/>
          <w:b/>
          <w:bCs/>
          <w:sz w:val="24"/>
        </w:rPr>
        <w:t xml:space="preserve">2.</w:t>
      </w:r>
      <w:r>
        <w:rPr>
          <w:rFonts w:hint="eastAsia" w:ascii="宋体" w:hAnsi="宋体" w:cs="宋体"/>
          <w:sz w:val="24"/>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技术保障服务：“苏采云”系统使用期间，由系统开发商江苏富深协通科技股份有限公司提供技术保障服务，指导软件操作，维护系统稳定运行。</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运维保障联系方式：0519-85588210、0519-85588163</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.1办理CA认证证书</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.2注册</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供应商登录常州市政府采购网“下载中心”－“苏采云”系统（供应商）操作手册下载相关操作手册、操作视频等，查阅后进行自助注册。</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.3控件、客户端下载</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供应商登录常州市政府采购网“下载中心”-政府采购管理交易系统（苏采云）CA及签章控件驱动下载相关控件及客户端。</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.4 获取电子磋商文件</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供应商持CA数字认证证书登录“苏采云”政府采购一体化平台获取电子磋商文件。未在规定期限内通过“苏采云”政府采购一体化平台获取磋商文件的响应无效。</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.5编制电子响应文件</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.6提交电子响应文件</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供应商应于响应截止时间前在“苏采云”政府采购一体化平台提交电子响应文件，上传电子响应文件过程中请保持与互联网的连接畅通。</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.7电子开标</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登录苏采云系统，点击“开标大厅”，选择对应项目。</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开评标流程如下：开标等待----&gt;开标主持----&gt;供应商解密----&gt;唱标（如有）----&gt;评审----&gt;评审结束</w:t>
      </w:r>
      <w:r>
        <w:rPr>
          <w:rFonts w:hint="eastAsia" w:ascii="宋体" w:hAnsi="宋体" w:cs="宋体"/>
          <w:sz w:val="24"/>
          <w:lang w:eastAsia="zh-CN"/>
        </w:rPr>
        <w:t xml:space="preserve">。说明</w:t>
      </w:r>
      <w:r>
        <w:rPr>
          <w:rFonts w:hint="eastAsia" w:ascii="宋体" w:hAnsi="宋体" w:cs="宋体"/>
          <w:sz w:val="24"/>
        </w:rPr>
        <w:t xml:space="preserve">：整个开评标环节，供应商只需要在【供应商解密】环节进行 CA 解密</w:t>
      </w:r>
      <w:r>
        <w:rPr>
          <w:rFonts w:hint="eastAsia" w:ascii="宋体" w:hAnsi="宋体" w:cs="宋体"/>
          <w:sz w:val="24"/>
          <w:lang w:eastAsia="zh-CN"/>
        </w:rPr>
        <w:t xml:space="preserve">，</w:t>
      </w:r>
      <w:r>
        <w:rPr>
          <w:rFonts w:hint="eastAsia" w:ascii="宋体" w:hAnsi="宋体" w:cs="宋体"/>
          <w:sz w:val="24"/>
        </w:rPr>
        <w:t xml:space="preserve">【唱标】环节进行唱标确认</w:t>
      </w:r>
      <w:r>
        <w:rPr>
          <w:rFonts w:hint="eastAsia" w:ascii="宋体" w:hAnsi="宋体" w:cs="宋体"/>
          <w:sz w:val="24"/>
          <w:lang w:eastAsia="zh-CN"/>
        </w:rPr>
        <w:t xml:space="preserve">，</w:t>
      </w:r>
      <w:r>
        <w:rPr>
          <w:rFonts w:hint="eastAsia" w:ascii="宋体" w:hAnsi="宋体" w:cs="宋体"/>
          <w:sz w:val="24"/>
        </w:rPr>
        <w:t xml:space="preserve">【评审】环节等待询标澄清或最终报价的准备，其余环节均为语音播报，供应商观看开标即可。 </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.8注意事项</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.关于常州市中小企业政府采购信用融资：</w:t>
      </w:r>
      <w:r>
        <w:rPr>
          <w:rFonts w:hint="eastAsia" w:ascii="宋体" w:hAnsi="宋体" w:cs="宋体"/>
          <w:sz w:val="24"/>
        </w:rPr>
      </w:r>
      <w:r/>
    </w:p>
    <w:p>
      <w:pPr>
        <w:pStyle w:val="1070"/>
        <w:ind w:firstLine="480"/>
        <w:spacing w:line="360" w:lineRule="auto"/>
        <w:rPr>
          <w:rFonts w:hint="eastAsia" w:ascii="宋体" w:hAnsi="宋体" w:cs="宋体"/>
          <w:spacing w:val="-6"/>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w:t>
      </w:r>
      <w:r>
        <w:rPr>
          <w:rFonts w:hint="eastAsia" w:ascii="宋体" w:hAnsi="宋体" w:cs="宋体"/>
          <w:spacing w:val="-6"/>
          <w:sz w:val="24"/>
        </w:rPr>
        <w:t xml:space="preserve">请条件及操作流程等事项详见该文件相关内容或者常州市政府采购网-－政采融资平台栏目。</w:t>
      </w:r>
      <w:r>
        <w:rPr>
          <w:rFonts w:hint="eastAsia" w:ascii="宋体" w:hAnsi="宋体" w:cs="宋体"/>
          <w:spacing w:val="-6"/>
          <w:sz w:val="24"/>
        </w:rPr>
      </w:r>
      <w:r/>
    </w:p>
    <w:p>
      <w:pPr>
        <w:pStyle w:val="1070"/>
        <w:ind w:firstLine="458"/>
        <w:spacing w:line="360" w:lineRule="auto"/>
        <w:rPr>
          <w:rFonts w:ascii="宋体" w:hAnsi="宋体" w:eastAsia="宋体" w:cs="宋体"/>
          <w:b/>
          <w:bCs/>
          <w:spacing w:val="-6"/>
          <w:sz w:val="24"/>
          <w:lang w:val="en-US" w:eastAsia="zh-CN"/>
        </w:rPr>
      </w:pPr>
      <w:r>
        <w:rPr>
          <w:rFonts w:hint="eastAsia" w:ascii="宋体" w:hAnsi="宋体" w:cs="宋体"/>
          <w:b/>
          <w:bCs/>
          <w:spacing w:val="-6"/>
          <w:sz w:val="24"/>
          <w:lang w:val="en-US" w:eastAsia="zh-CN"/>
        </w:rPr>
        <w:t xml:space="preserve">4.网页招标公告为系统固定模板，与招标文件有不一致之处，以招标文件为准。</w:t>
      </w:r>
      <w:r>
        <w:rPr>
          <w:rFonts w:ascii="宋体" w:hAnsi="宋体" w:eastAsia="宋体" w:cs="宋体"/>
          <w:b/>
          <w:bCs/>
          <w:spacing w:val="-6"/>
          <w:sz w:val="24"/>
          <w:lang w:val="en-US" w:eastAsia="zh-CN"/>
        </w:rPr>
      </w:r>
      <w:r/>
    </w:p>
    <w:p>
      <w:pPr>
        <w:pStyle w:val="1072"/>
        <w:jc w:val="left"/>
        <w:spacing w:before="0" w:line="360" w:lineRule="auto"/>
        <w:rPr>
          <w:rFonts w:ascii="Times New Roman" w:hAnsi="Times New Roman" w:eastAsia="宋体"/>
          <w:sz w:val="24"/>
          <w:szCs w:val="24"/>
        </w:rPr>
      </w:pPr>
      <w:r/>
      <w:bookmarkStart w:id="25" w:name="_Toc28359008"/>
      <w:r/>
      <w:bookmarkStart w:id="26" w:name="_Toc35393796"/>
      <w:r/>
      <w:bookmarkStart w:id="27" w:name="_Toc28359085"/>
      <w:r/>
      <w:bookmarkStart w:id="28" w:name="_Toc35393627"/>
      <w:r>
        <w:rPr>
          <w:rFonts w:ascii="Times New Roman" w:hAnsi="Times New Roman" w:eastAsia="宋体"/>
          <w:sz w:val="24"/>
          <w:szCs w:val="24"/>
        </w:rPr>
        <w:t xml:space="preserve">八、对本项目提出询问，请按以下方式联系。</w:t>
      </w:r>
      <w:bookmarkEnd w:id="25"/>
      <w:r/>
      <w:bookmarkEnd w:id="26"/>
      <w:r/>
      <w:bookmarkEnd w:id="27"/>
      <w:r/>
      <w:bookmarkEnd w:id="28"/>
      <w:r>
        <w:rPr>
          <w:rFonts w:ascii="Times New Roman" w:hAnsi="Times New Roman" w:eastAsia="宋体"/>
          <w:sz w:val="24"/>
          <w:szCs w:val="24"/>
        </w:rPr>
      </w:r>
      <w:r/>
    </w:p>
    <w:p>
      <w:pPr>
        <w:pStyle w:val="1070"/>
        <w:jc w:val="left"/>
        <w:spacing w:line="360" w:lineRule="auto"/>
        <w:widowControl/>
        <w:rPr>
          <w:b/>
          <w:sz w:val="24"/>
        </w:rPr>
      </w:pPr>
      <w:r>
        <w:rPr>
          <w:sz w:val="24"/>
        </w:rPr>
        <w:t xml:space="preserve">　　　</w:t>
      </w:r>
      <w:r>
        <w:rPr>
          <w:b/>
          <w:sz w:val="24"/>
        </w:rPr>
        <w:t xml:space="preserve">1.采购人信息</w:t>
      </w:r>
      <w:r>
        <w:rPr>
          <w:b/>
          <w:sz w:val="24"/>
        </w:rPr>
      </w:r>
      <w:r/>
    </w:p>
    <w:p>
      <w:pPr>
        <w:pStyle w:val="1070"/>
        <w:ind w:firstLine="720"/>
        <w:spacing w:line="360" w:lineRule="auto"/>
        <w:rPr>
          <w:rFonts w:hint="eastAsia" w:ascii="宋体" w:hAnsi="宋体" w:eastAsia="宋体" w:cs="仿宋"/>
          <w:sz w:val="24"/>
          <w:lang w:eastAsia="zh-CN" w:bidi="ar"/>
        </w:rPr>
      </w:pPr>
      <w:r/>
      <w:bookmarkStart w:id="29" w:name="_Toc28359086"/>
      <w:r/>
      <w:bookmarkStart w:id="30" w:name="_Toc28359009"/>
      <w:r>
        <w:rPr>
          <w:rFonts w:hint="eastAsia" w:ascii="宋体" w:hAnsi="宋体" w:cs="仿宋"/>
          <w:sz w:val="24"/>
          <w:lang w:bidi="ar"/>
        </w:rPr>
        <w:t xml:space="preserve">名    称：</w:t>
      </w:r>
      <w:r>
        <w:rPr>
          <w:rFonts w:hint="eastAsia" w:ascii="宋体" w:hAnsi="宋体" w:cs="仿宋"/>
          <w:sz w:val="24"/>
          <w:u w:val="single"/>
          <w:lang w:eastAsia="zh-CN" w:bidi="ar"/>
        </w:rPr>
        <w:t xml:space="preserve">溧阳市社渚镇人民政府</w:t>
      </w:r>
      <w:r>
        <w:rPr>
          <w:rFonts w:hint="eastAsia" w:ascii="宋体" w:hAnsi="宋体" w:eastAsia="宋体" w:cs="仿宋"/>
          <w:sz w:val="24"/>
          <w:lang w:eastAsia="zh-CN" w:bidi="ar"/>
        </w:rPr>
      </w:r>
      <w:r/>
    </w:p>
    <w:p>
      <w:pPr>
        <w:pStyle w:val="1070"/>
        <w:ind w:firstLine="720"/>
        <w:spacing w:line="360" w:lineRule="auto"/>
        <w:rPr>
          <w:rFonts w:ascii="宋体" w:hAnsi="宋体" w:cs="仿宋"/>
          <w:sz w:val="24"/>
          <w:u w:val="single"/>
          <w:lang w:bidi="ar"/>
        </w:rPr>
      </w:pPr>
      <w:r>
        <w:rPr>
          <w:rFonts w:hint="eastAsia" w:ascii="宋体" w:hAnsi="宋体" w:cs="仿宋"/>
          <w:sz w:val="24"/>
          <w:lang w:bidi="ar"/>
        </w:rPr>
        <w:t xml:space="preserve">地    址：</w:t>
      </w:r>
      <w:r>
        <w:rPr>
          <w:rFonts w:hint="eastAsia" w:ascii="宋体" w:hAnsi="宋体" w:cs="仿宋"/>
          <w:sz w:val="24"/>
          <w:u w:val="single"/>
          <w:lang w:bidi="ar"/>
        </w:rPr>
        <w:t xml:space="preserve">溧阳市</w:t>
      </w:r>
      <w:r>
        <w:rPr>
          <w:rFonts w:hint="eastAsia" w:ascii="宋体" w:hAnsi="宋体" w:cs="仿宋"/>
          <w:sz w:val="24"/>
          <w:u w:val="single"/>
          <w:lang w:eastAsia="zh-CN" w:bidi="ar"/>
        </w:rPr>
        <w:t xml:space="preserve">社渚镇社渚村</w:t>
      </w:r>
      <w:r>
        <w:rPr>
          <w:rFonts w:hint="eastAsia" w:ascii="宋体" w:hAnsi="宋体" w:cs="仿宋"/>
          <w:sz w:val="24"/>
          <w:u w:val="single"/>
          <w:lang w:bidi="ar"/>
        </w:rPr>
        <w:t xml:space="preserve"> </w:t>
      </w:r>
      <w:r>
        <w:rPr>
          <w:rFonts w:ascii="宋体" w:hAnsi="宋体" w:cs="仿宋"/>
          <w:sz w:val="24"/>
          <w:u w:val="single"/>
          <w:lang w:bidi="ar"/>
        </w:rPr>
      </w:r>
      <w:r/>
    </w:p>
    <w:p>
      <w:pPr>
        <w:pStyle w:val="1070"/>
        <w:ind w:firstLine="720"/>
        <w:spacing w:line="360" w:lineRule="auto"/>
        <w:rPr>
          <w:rFonts w:hint="eastAsia" w:ascii="宋体" w:hAnsi="宋体" w:eastAsia="宋体" w:cs="仿宋"/>
          <w:sz w:val="24"/>
          <w:u w:val="single"/>
          <w:lang w:eastAsia="zh-CN" w:bidi="ar"/>
        </w:rPr>
      </w:pPr>
      <w:r>
        <w:rPr>
          <w:rFonts w:hint="eastAsia" w:ascii="宋体" w:hAnsi="宋体" w:cs="仿宋"/>
          <w:sz w:val="24"/>
          <w:lang w:bidi="ar"/>
        </w:rPr>
        <w:t xml:space="preserve">联系方式：</w:t>
      </w:r>
      <w:r>
        <w:rPr>
          <w:rFonts w:hint="eastAsia" w:ascii="宋体" w:hAnsi="宋体" w:cs="仿宋"/>
          <w:sz w:val="24"/>
          <w:u w:val="single"/>
          <w:lang w:eastAsia="zh-CN" w:bidi="ar"/>
        </w:rPr>
        <w:t xml:space="preserve">0519-87527005</w:t>
      </w:r>
      <w:r>
        <w:rPr>
          <w:rFonts w:hint="eastAsia" w:ascii="宋体" w:hAnsi="宋体" w:eastAsia="宋体" w:cs="仿宋"/>
          <w:sz w:val="24"/>
          <w:u w:val="single"/>
          <w:lang w:eastAsia="zh-CN" w:bidi="ar"/>
        </w:rPr>
      </w:r>
      <w:r/>
    </w:p>
    <w:p>
      <w:pPr>
        <w:pStyle w:val="1070"/>
        <w:ind w:left="1078" w:hanging="299"/>
        <w:jc w:val="left"/>
        <w:spacing w:line="360" w:lineRule="auto"/>
        <w:rPr>
          <w:b/>
          <w:sz w:val="24"/>
        </w:rPr>
      </w:pPr>
      <w:r>
        <w:rPr>
          <w:b/>
          <w:sz w:val="24"/>
        </w:rPr>
        <w:t xml:space="preserve">2.采购代理机构信息</w:t>
      </w:r>
      <w:bookmarkEnd w:id="29"/>
      <w:r/>
      <w:bookmarkEnd w:id="30"/>
      <w:r>
        <w:rPr>
          <w:b/>
          <w:sz w:val="24"/>
        </w:rPr>
      </w:r>
      <w:r/>
    </w:p>
    <w:p>
      <w:pPr>
        <w:pStyle w:val="1070"/>
        <w:ind w:firstLine="720"/>
        <w:spacing w:line="360" w:lineRule="auto"/>
        <w:rPr>
          <w:rFonts w:hint="eastAsia" w:ascii="宋体" w:hAnsi="宋体" w:cs="仿宋"/>
          <w:sz w:val="24"/>
          <w:lang w:bidi="ar"/>
        </w:rPr>
      </w:pPr>
      <w:r/>
      <w:bookmarkStart w:id="31" w:name="_Toc28359087"/>
      <w:r/>
      <w:bookmarkStart w:id="32" w:name="_Toc28359010"/>
      <w:r>
        <w:rPr>
          <w:rFonts w:hint="eastAsia" w:ascii="宋体" w:hAnsi="宋体" w:cs="仿宋"/>
          <w:sz w:val="24"/>
          <w:lang w:bidi="ar"/>
        </w:rPr>
        <w:t xml:space="preserve">名    称：</w:t>
      </w:r>
      <w:r>
        <w:rPr>
          <w:rFonts w:hint="eastAsia" w:ascii="宋体" w:hAnsi="宋体" w:cs="仿宋"/>
          <w:sz w:val="24"/>
          <w:u w:val="single"/>
          <w:lang w:bidi="ar"/>
        </w:rPr>
        <w:t xml:space="preserve">江苏苏南项目管理有限公司</w:t>
      </w:r>
      <w:r>
        <w:rPr>
          <w:rFonts w:hint="eastAsia" w:ascii="宋体" w:hAnsi="宋体" w:cs="仿宋"/>
          <w:sz w:val="24"/>
          <w:lang w:bidi="ar"/>
        </w:rPr>
      </w:r>
      <w:r/>
    </w:p>
    <w:p>
      <w:pPr>
        <w:pStyle w:val="1070"/>
        <w:ind w:firstLine="720"/>
        <w:spacing w:line="360" w:lineRule="auto"/>
        <w:rPr>
          <w:rFonts w:hint="eastAsia" w:ascii="宋体" w:hAnsi="宋体" w:cs="仿宋"/>
          <w:sz w:val="24"/>
          <w:lang w:bidi="ar"/>
        </w:rPr>
      </w:pPr>
      <w:r>
        <w:rPr>
          <w:rFonts w:hint="eastAsia" w:ascii="宋体" w:hAnsi="宋体" w:cs="仿宋"/>
          <w:sz w:val="24"/>
          <w:lang w:bidi="ar"/>
        </w:rPr>
        <w:t xml:space="preserve">地　　址：</w:t>
      </w:r>
      <w:r>
        <w:rPr>
          <w:rFonts w:hint="eastAsia" w:ascii="宋体" w:hAnsi="宋体" w:cs="仿宋"/>
          <w:sz w:val="24"/>
          <w:u w:val="single"/>
          <w:lang w:bidi="ar"/>
        </w:rPr>
        <w:t xml:space="preserve">江苏省溧阳市游子吟大道263号汉宇大厦40</w:t>
      </w:r>
      <w:r>
        <w:rPr>
          <w:rFonts w:hint="eastAsia" w:ascii="宋体" w:hAnsi="宋体" w:cs="仿宋"/>
          <w:sz w:val="24"/>
          <w:u w:val="single"/>
          <w:lang w:val="en-US" w:eastAsia="zh-CN" w:bidi="ar"/>
        </w:rPr>
        <w:t xml:space="preserve">7</w:t>
      </w:r>
      <w:r>
        <w:rPr>
          <w:rFonts w:hint="eastAsia" w:ascii="宋体" w:hAnsi="宋体" w:cs="仿宋"/>
          <w:sz w:val="24"/>
          <w:u w:val="single"/>
          <w:lang w:bidi="ar"/>
        </w:rPr>
        <w:t xml:space="preserve">室</w:t>
      </w:r>
      <w:r>
        <w:rPr>
          <w:rFonts w:hint="eastAsia" w:ascii="宋体" w:hAnsi="宋体" w:cs="仿宋"/>
          <w:sz w:val="24"/>
          <w:lang w:bidi="ar"/>
        </w:rPr>
      </w:r>
      <w:r/>
    </w:p>
    <w:p>
      <w:pPr>
        <w:pStyle w:val="1070"/>
        <w:ind w:firstLine="720"/>
        <w:spacing w:line="360" w:lineRule="auto"/>
        <w:rPr>
          <w:rFonts w:ascii="宋体" w:hAnsi="宋体" w:cs="仿宋"/>
          <w:sz w:val="24"/>
          <w:lang w:bidi="ar"/>
        </w:rPr>
      </w:pPr>
      <w:r>
        <w:rPr>
          <w:rFonts w:hint="eastAsia" w:ascii="宋体" w:hAnsi="宋体" w:cs="仿宋"/>
          <w:sz w:val="24"/>
          <w:lang w:bidi="ar"/>
        </w:rPr>
        <w:t xml:space="preserve">联系方式：</w:t>
      </w:r>
      <w:r>
        <w:rPr>
          <w:rFonts w:hint="eastAsia" w:ascii="宋体" w:hAnsi="宋体" w:cs="仿宋"/>
          <w:sz w:val="24"/>
          <w:u w:val="single"/>
          <w:lang w:bidi="ar"/>
        </w:rPr>
        <w:t xml:space="preserve">0519-87278789</w:t>
      </w:r>
      <w:r>
        <w:rPr>
          <w:rFonts w:ascii="宋体" w:hAnsi="宋体" w:cs="仿宋"/>
          <w:sz w:val="24"/>
          <w:lang w:bidi="ar"/>
        </w:rPr>
      </w:r>
      <w:r/>
    </w:p>
    <w:p>
      <w:pPr>
        <w:pStyle w:val="1070"/>
        <w:ind w:left="1078" w:hanging="299"/>
        <w:spacing w:line="360" w:lineRule="auto"/>
        <w:rPr>
          <w:b/>
          <w:sz w:val="24"/>
          <w:u w:val="single"/>
        </w:rPr>
      </w:pPr>
      <w:r>
        <w:rPr>
          <w:b/>
          <w:sz w:val="24"/>
        </w:rPr>
        <w:t xml:space="preserve">3.项目联系方式</w:t>
      </w:r>
      <w:bookmarkEnd w:id="31"/>
      <w:r/>
      <w:bookmarkEnd w:id="32"/>
      <w:r>
        <w:rPr>
          <w:b/>
          <w:sz w:val="24"/>
          <w:u w:val="single"/>
        </w:rPr>
      </w:r>
      <w:r/>
    </w:p>
    <w:p>
      <w:pPr>
        <w:pStyle w:val="1070"/>
        <w:ind w:firstLine="720"/>
        <w:spacing w:line="360" w:lineRule="auto"/>
        <w:rPr>
          <w:rFonts w:hint="eastAsia" w:ascii="宋体" w:hAnsi="宋体" w:cs="仿宋"/>
          <w:sz w:val="24"/>
          <w:lang w:bidi="ar"/>
        </w:rPr>
      </w:pPr>
      <w:r>
        <w:rPr>
          <w:rFonts w:hint="eastAsia" w:ascii="宋体" w:hAnsi="宋体" w:cs="仿宋"/>
          <w:sz w:val="24"/>
          <w:lang w:bidi="ar"/>
        </w:rPr>
        <w:t xml:space="preserve">项目联系人：</w:t>
      </w:r>
      <w:r>
        <w:rPr>
          <w:rFonts w:hint="eastAsia" w:ascii="宋体" w:hAnsi="宋体" w:cs="仿宋"/>
          <w:sz w:val="24"/>
          <w:u w:val="single"/>
          <w:lang w:bidi="ar"/>
        </w:rPr>
        <w:t xml:space="preserve">王女士</w:t>
      </w:r>
      <w:r>
        <w:rPr>
          <w:rFonts w:hint="eastAsia" w:ascii="宋体" w:hAnsi="宋体" w:cs="仿宋"/>
          <w:sz w:val="24"/>
          <w:lang w:bidi="ar"/>
        </w:rPr>
      </w:r>
      <w:r/>
    </w:p>
    <w:p>
      <w:pPr>
        <w:pStyle w:val="1109"/>
        <w:ind w:firstLine="720"/>
        <w:spacing w:line="360" w:lineRule="auto"/>
        <w:rPr>
          <w:b/>
          <w:sz w:val="36"/>
          <w:szCs w:val="36"/>
        </w:rPr>
      </w:pPr>
      <w:r>
        <w:rPr>
          <w:rFonts w:hAnsi="宋体" w:cs="仿宋"/>
          <w:sz w:val="24"/>
          <w:lang w:bidi="ar"/>
        </w:rPr>
        <w:t xml:space="preserve">电　　  话：</w:t>
      </w:r>
      <w:r>
        <w:rPr>
          <w:rFonts w:hAnsi="宋体" w:cs="仿宋"/>
          <w:sz w:val="24"/>
          <w:szCs w:val="24"/>
          <w:u w:val="single"/>
          <w:lang w:bidi="ar"/>
        </w:rPr>
        <w:t xml:space="preserve">0519-87278789</w:t>
      </w:r>
      <w:bookmarkStart w:id="33" w:name="_Toc264969275"/>
      <w:r/>
      <w:bookmarkStart w:id="34" w:name="_Toc305158854"/>
      <w:r/>
      <w:bookmarkStart w:id="35" w:name="_Toc127151777"/>
      <w:r/>
      <w:bookmarkStart w:id="36" w:name="_Toc265228423"/>
      <w:r/>
      <w:bookmarkStart w:id="37" w:name="_Toc353873938"/>
      <w:r/>
      <w:bookmarkStart w:id="38" w:name="_Toc104818926"/>
      <w:r/>
      <w:bookmarkStart w:id="39" w:name="_Toc512937850"/>
      <w:r/>
      <w:bookmarkStart w:id="40" w:name="_Toc127161488"/>
      <w:r/>
      <w:bookmarkStart w:id="41" w:name="_Toc150774783"/>
      <w:r/>
      <w:bookmarkStart w:id="42" w:name="_Toc353825548"/>
      <w:r/>
      <w:bookmarkStart w:id="43" w:name="_Toc226965856"/>
      <w:r/>
      <w:bookmarkStart w:id="44" w:name="_Toc195842950"/>
      <w:r/>
      <w:bookmarkStart w:id="45" w:name="_Toc305158928"/>
      <w:r>
        <w:rPr>
          <w:b/>
          <w:sz w:val="36"/>
          <w:szCs w:val="36"/>
        </w:rPr>
      </w:r>
      <w:r/>
    </w:p>
    <w:p>
      <w:pPr>
        <w:pStyle w:val="1070"/>
        <w:jc w:val="center"/>
        <w:spacing w:line="360" w:lineRule="auto"/>
        <w:rPr>
          <w:b/>
          <w:sz w:val="36"/>
          <w:szCs w:val="36"/>
        </w:rPr>
        <w:outlineLvl w:val="0"/>
      </w:pPr>
      <w:r>
        <w:rPr>
          <w:b/>
          <w:sz w:val="36"/>
          <w:szCs w:val="36"/>
        </w:rPr>
      </w:r>
      <w:r/>
    </w:p>
    <w:p>
      <w:pPr>
        <w:pStyle w:val="1070"/>
        <w:jc w:val="center"/>
        <w:spacing w:line="360" w:lineRule="auto"/>
        <w:rPr>
          <w:b/>
          <w:sz w:val="36"/>
          <w:szCs w:val="36"/>
        </w:rPr>
        <w:outlineLvl w:val="0"/>
      </w:pPr>
      <w:r>
        <w:rPr>
          <w:b/>
          <w:sz w:val="36"/>
          <w:szCs w:val="36"/>
        </w:rPr>
      </w:r>
      <w:r/>
    </w:p>
    <w:p>
      <w:pPr>
        <w:pStyle w:val="1070"/>
        <w:jc w:val="center"/>
        <w:spacing w:line="360" w:lineRule="auto"/>
        <w:rPr>
          <w:b/>
          <w:sz w:val="36"/>
          <w:szCs w:val="36"/>
        </w:rPr>
        <w:outlineLvl w:val="0"/>
      </w:pPr>
      <w:r>
        <w:rPr>
          <w:b/>
          <w:sz w:val="36"/>
          <w:szCs w:val="36"/>
        </w:rPr>
      </w:r>
      <w:r/>
    </w:p>
    <w:p>
      <w:pPr>
        <w:pStyle w:val="1070"/>
        <w:jc w:val="center"/>
        <w:spacing w:line="360" w:lineRule="auto"/>
        <w:rPr>
          <w:b/>
          <w:sz w:val="36"/>
          <w:szCs w:val="36"/>
        </w:rPr>
        <w:outlineLvl w:val="0"/>
      </w:pPr>
      <w:r>
        <w:rPr>
          <w:b/>
          <w:sz w:val="36"/>
          <w:szCs w:val="36"/>
        </w:rPr>
      </w:r>
      <w:r/>
    </w:p>
    <w:p>
      <w:pPr>
        <w:pStyle w:val="1070"/>
        <w:jc w:val="center"/>
        <w:spacing w:line="360" w:lineRule="auto"/>
        <w:rPr>
          <w:b/>
          <w:sz w:val="36"/>
          <w:szCs w:val="36"/>
        </w:rPr>
        <w:outlineLvl w:val="0"/>
      </w:pPr>
      <w:r>
        <w:rPr>
          <w:b/>
          <w:sz w:val="36"/>
          <w:szCs w:val="36"/>
        </w:rPr>
      </w:r>
      <w:r/>
    </w:p>
    <w:p>
      <w:pPr>
        <w:pStyle w:val="1070"/>
        <w:jc w:val="center"/>
        <w:spacing w:line="360" w:lineRule="auto"/>
        <w:rPr>
          <w:b/>
          <w:sz w:val="32"/>
          <w:szCs w:val="32"/>
        </w:rPr>
        <w:outlineLvl w:val="0"/>
      </w:pPr>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72"/>
        <w:spacing w:before="0" w:line="360" w:lineRule="auto"/>
        <w:tabs>
          <w:tab w:val="center" w:pos="4592" w:leader="none"/>
          <w:tab w:val="left" w:pos="7860" w:leader="none"/>
        </w:tabs>
        <w:rPr>
          <w:rFonts w:ascii="Times New Roman" w:hAnsi="Times New Roman" w:eastAsia="宋体"/>
          <w:b w:val="0"/>
          <w:sz w:val="28"/>
        </w:rPr>
      </w:pPr>
      <w:r/>
      <w:bookmarkStart w:id="46" w:name="_Toc127151519"/>
      <w:r/>
      <w:bookmarkStart w:id="47" w:name="_Toc149720812"/>
      <w:r/>
      <w:bookmarkStart w:id="48" w:name="_Toc127151720"/>
      <w:r/>
      <w:bookmarkStart w:id="49" w:name="_Toc151193689"/>
      <w:r/>
      <w:bookmarkStart w:id="50" w:name="_Toc150480757"/>
      <w:r/>
      <w:bookmarkStart w:id="51" w:name="_Toc150774619"/>
      <w:r/>
      <w:bookmarkStart w:id="52" w:name="_Toc127161433"/>
      <w:r/>
      <w:bookmarkStart w:id="53" w:name="_Toc226337215"/>
      <w:r/>
      <w:bookmarkStart w:id="54" w:name="_Toc164229214"/>
      <w:r/>
      <w:bookmarkStart w:id="55" w:name="_Toc151190146"/>
      <w:r/>
      <w:bookmarkStart w:id="56" w:name="_Toc164229360"/>
      <w:r/>
      <w:bookmarkStart w:id="57" w:name="_Toc226309763"/>
      <w:r/>
      <w:bookmarkStart w:id="58" w:name="_Toc151193907"/>
      <w:r/>
      <w:bookmarkStart w:id="59" w:name="_Toc195842884"/>
      <w:r/>
      <w:bookmarkStart w:id="60" w:name="_Toc150509270"/>
      <w:r/>
      <w:bookmarkStart w:id="61" w:name="_Toc151193833"/>
      <w:r/>
      <w:bookmarkStart w:id="62" w:name="_Toc151193617"/>
      <w:r/>
      <w:bookmarkStart w:id="63" w:name="_Toc520356144"/>
      <w:r/>
      <w:bookmarkStart w:id="64" w:name="_Toc226965792"/>
      <w:r/>
      <w:bookmarkStart w:id="65" w:name="_Toc164608788"/>
      <w:r/>
      <w:bookmarkStart w:id="66" w:name="_Toc226965709"/>
      <w:r/>
      <w:bookmarkStart w:id="67" w:name="_Toc151193761"/>
      <w:r/>
      <w:bookmarkStart w:id="68" w:name="_Toc164608633"/>
      <w:r/>
      <w:bookmarkStart w:id="69" w:name="_Toc150774724"/>
      <w:r/>
      <w:bookmarkStart w:id="70" w:name="_Toc164351613"/>
      <w:r/>
      <w:bookmarkStart w:id="71" w:name="_Toc142311021"/>
      <w:r>
        <w:rPr>
          <w:rFonts w:ascii="Times New Roman" w:hAnsi="Times New Roman" w:eastAsia="宋体"/>
          <w:sz w:val="28"/>
        </w:rPr>
        <w:t xml:space="preserve">供应商须知资料表</w:t>
      </w:r>
      <w:r>
        <w:rPr>
          <w:rFonts w:ascii="Times New Roman" w:hAnsi="Times New Roman" w:eastAsia="宋体"/>
          <w:b w:val="0"/>
          <w:sz w:val="28"/>
        </w:rPr>
      </w:r>
      <w:r/>
    </w:p>
    <w:p>
      <w:pPr>
        <w:pStyle w:val="1070"/>
        <w:jc w:val="center"/>
        <w:rPr>
          <w:b/>
          <w:sz w:val="28"/>
          <w:szCs w:val="28"/>
        </w:rPr>
      </w:pPr>
      <w:r>
        <w:rPr>
          <w:b/>
          <w:sz w:val="28"/>
          <w:szCs w:val="28"/>
        </w:rPr>
      </w:r>
      <w:r/>
    </w:p>
    <w:p>
      <w:pPr>
        <w:pStyle w:val="1070"/>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70"/>
              <w:jc w:val="center"/>
              <w:rPr>
                <w:b/>
                <w:bCs/>
                <w:sz w:val="24"/>
              </w:rPr>
            </w:pPr>
            <w:r>
              <w:rPr>
                <w:b/>
                <w:sz w:val="24"/>
              </w:rPr>
              <w:t xml:space="preserve">条款号</w:t>
            </w:r>
            <w:r>
              <w:rPr>
                <w:b/>
                <w:bCs/>
                <w:sz w:val="24"/>
              </w:rPr>
            </w:r>
            <w:r/>
          </w:p>
        </w:tc>
        <w:tc>
          <w:tcPr>
            <w:tcW w:w="1701" w:type="dxa"/>
            <w:vAlign w:val="center"/>
            <w:textDirection w:val="lrTb"/>
            <w:noWrap w:val="false"/>
          </w:tcPr>
          <w:p>
            <w:pPr>
              <w:pStyle w:val="1070"/>
              <w:jc w:val="center"/>
              <w:rPr>
                <w:b/>
                <w:bCs/>
                <w:sz w:val="24"/>
              </w:rPr>
            </w:pPr>
            <w:r>
              <w:rPr>
                <w:b/>
                <w:bCs/>
                <w:sz w:val="24"/>
              </w:rPr>
              <w:t xml:space="preserve">条目</w:t>
            </w:r>
            <w:r>
              <w:rPr>
                <w:b/>
                <w:bCs/>
                <w:sz w:val="24"/>
              </w:rPr>
            </w:r>
            <w:r/>
          </w:p>
        </w:tc>
        <w:tc>
          <w:tcPr>
            <w:tcW w:w="7253" w:type="dxa"/>
            <w:vAlign w:val="center"/>
            <w:textDirection w:val="lrTb"/>
            <w:noWrap w:val="false"/>
          </w:tcPr>
          <w:p>
            <w:pPr>
              <w:pStyle w:val="1070"/>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109"/>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070"/>
              <w:jc w:val="center"/>
              <w:rPr>
                <w:sz w:val="24"/>
              </w:rPr>
            </w:pPr>
            <w:r>
              <w:rPr>
                <w:sz w:val="24"/>
              </w:rPr>
              <w:t xml:space="preserve">项目属性</w:t>
            </w:r>
            <w:r>
              <w:rPr>
                <w:sz w:val="24"/>
              </w:rPr>
            </w:r>
            <w:r/>
          </w:p>
        </w:tc>
        <w:tc>
          <w:tcPr>
            <w:tcW w:w="7253" w:type="dxa"/>
            <w:vAlign w:val="center"/>
            <w:textDirection w:val="lrTb"/>
            <w:noWrap w:val="false"/>
          </w:tcPr>
          <w:p>
            <w:pPr>
              <w:pStyle w:val="1070"/>
              <w:jc w:val="left"/>
              <w:rPr>
                <w:sz w:val="24"/>
              </w:rPr>
            </w:pPr>
            <w:r>
              <w:rPr>
                <w:sz w:val="24"/>
              </w:rPr>
              <w:t xml:space="preserve">项目属性：</w:t>
            </w:r>
            <w:r>
              <w:rPr>
                <w:sz w:val="24"/>
              </w:rPr>
            </w:r>
            <w:r/>
          </w:p>
          <w:p>
            <w:pPr>
              <w:pStyle w:val="1070"/>
              <w:jc w:val="left"/>
              <w:rPr>
                <w:sz w:val="24"/>
              </w:rPr>
            </w:pPr>
            <w:r>
              <w:rPr>
                <w:b/>
                <w:color w:val="000000"/>
                <w:sz w:val="24"/>
              </w:rPr>
              <w:t xml:space="preserve">■</w:t>
            </w:r>
            <w:r>
              <w:rPr>
                <w:sz w:val="24"/>
              </w:rPr>
              <w:t xml:space="preserve">服务</w:t>
            </w:r>
            <w:r>
              <w:rPr>
                <w:sz w:val="24"/>
              </w:rPr>
            </w:r>
            <w:r/>
          </w:p>
          <w:p>
            <w:pPr>
              <w:pStyle w:val="1070"/>
              <w:jc w:val="left"/>
              <w:rPr>
                <w:sz w:val="24"/>
              </w:rPr>
            </w:pPr>
            <w:r>
              <w:t xml:space="preserve">□</w:t>
            </w:r>
            <w:r>
              <w:rPr>
                <w:sz w:val="24"/>
              </w:rPr>
              <w:t xml:space="preserve">货物</w:t>
            </w:r>
            <w:r>
              <w:rPr>
                <w:sz w:val="24"/>
              </w:rPr>
            </w:r>
            <w:r/>
          </w:p>
          <w:p>
            <w:pPr>
              <w:pStyle w:val="1070"/>
              <w:jc w:val="left"/>
              <w:rPr>
                <w:sz w:val="24"/>
                <w:u w:val="single"/>
              </w:rPr>
            </w:pPr>
            <w: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109"/>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070"/>
              <w:jc w:val="center"/>
              <w:rPr>
                <w:sz w:val="24"/>
              </w:rPr>
            </w:pPr>
            <w:r>
              <w:rPr>
                <w:sz w:val="24"/>
              </w:rPr>
              <w:t xml:space="preserve">科研仪器设备</w:t>
            </w:r>
            <w:r>
              <w:rPr>
                <w:sz w:val="24"/>
              </w:rPr>
            </w:r>
            <w:r/>
          </w:p>
        </w:tc>
        <w:tc>
          <w:tcPr>
            <w:tcW w:w="7253" w:type="dxa"/>
            <w:vAlign w:val="center"/>
            <w:textDirection w:val="lrTb"/>
            <w:noWrap w:val="false"/>
          </w:tcPr>
          <w:p>
            <w:pPr>
              <w:pStyle w:val="1070"/>
              <w:jc w:val="left"/>
              <w:rPr>
                <w:sz w:val="24"/>
              </w:rPr>
            </w:pPr>
            <w:r>
              <w:rPr>
                <w:sz w:val="24"/>
              </w:rPr>
              <w:t xml:space="preserve">是否属于科研仪器设备采购项目：</w:t>
            </w:r>
            <w:r>
              <w:rPr>
                <w:sz w:val="24"/>
              </w:rPr>
            </w:r>
            <w:r/>
          </w:p>
          <w:p>
            <w:pPr>
              <w:pStyle w:val="1070"/>
              <w:jc w:val="left"/>
              <w:rPr>
                <w:sz w:val="24"/>
              </w:rPr>
            </w:pPr>
            <w:r>
              <w:t xml:space="preserve">□</w:t>
            </w:r>
            <w:r>
              <w:rPr>
                <w:sz w:val="24"/>
              </w:rPr>
              <w:t xml:space="preserve">是</w:t>
            </w:r>
            <w:r>
              <w:rPr>
                <w:sz w:val="24"/>
              </w:rPr>
            </w:r>
            <w:r/>
          </w:p>
          <w:p>
            <w:pPr>
              <w:pStyle w:val="1070"/>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1109"/>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070"/>
              <w:jc w:val="center"/>
              <w:rPr>
                <w:sz w:val="24"/>
              </w:rPr>
            </w:pPr>
            <w:r>
              <w:rPr>
                <w:sz w:val="24"/>
              </w:rPr>
              <w:t xml:space="preserve">现场考察</w:t>
            </w:r>
            <w:r>
              <w:rPr>
                <w:sz w:val="24"/>
              </w:rPr>
            </w:r>
            <w:r/>
          </w:p>
        </w:tc>
        <w:tc>
          <w:tcPr>
            <w:tcW w:w="7253" w:type="dxa"/>
            <w:vAlign w:val="center"/>
            <w:textDirection w:val="lrTb"/>
            <w:noWrap w:val="false"/>
          </w:tcPr>
          <w:p>
            <w:pPr>
              <w:pStyle w:val="1070"/>
              <w:jc w:val="left"/>
              <w:rPr>
                <w:sz w:val="24"/>
              </w:rPr>
            </w:pPr>
            <w:r>
              <w:rPr>
                <w:b/>
                <w:color w:val="000000"/>
                <w:sz w:val="24"/>
              </w:rPr>
              <w:t xml:space="preserve">■</w:t>
            </w:r>
            <w:r>
              <w:rPr>
                <w:sz w:val="24"/>
              </w:rPr>
              <w:t xml:space="preserve">不组织</w:t>
            </w:r>
            <w:r>
              <w:rPr>
                <w:sz w:val="24"/>
              </w:rPr>
            </w:r>
            <w:r/>
          </w:p>
          <w:p>
            <w:pPr>
              <w:pStyle w:val="1070"/>
              <w:jc w:val="left"/>
              <w:rPr>
                <w:bCs/>
                <w:sz w:val="24"/>
              </w:rPr>
            </w:pPr>
            <w:r>
              <w:t xml:space="preserve">□</w:t>
            </w:r>
            <w:r>
              <w:rPr>
                <w:sz w:val="24"/>
              </w:rPr>
              <w:t xml:space="preserve">组织，考察时间：_</w:t>
            </w:r>
            <w:r>
              <w:rPr>
                <w:rFonts w:hint="eastAsia"/>
                <w:sz w:val="24"/>
                <w:u w:val="single"/>
              </w:rPr>
              <w:t xml:space="preserve">/</w:t>
            </w:r>
            <w:r>
              <w:rPr>
                <w:sz w:val="24"/>
              </w:rPr>
              <w:t xml:space="preserve">__</w:t>
            </w:r>
            <w:r>
              <w:rPr>
                <w:sz w:val="24"/>
                <w:lang w:bidi="ar"/>
              </w:rPr>
              <w:t xml:space="preserve">年</w:t>
            </w:r>
            <w:r>
              <w:rPr>
                <w:sz w:val="24"/>
              </w:rPr>
              <w:t xml:space="preserve">__</w:t>
            </w:r>
            <w:r>
              <w:rPr>
                <w:rFonts w:hint="eastAsia"/>
                <w:sz w:val="24"/>
                <w:u w:val="single"/>
              </w:rPr>
              <w:t xml:space="preserve">/</w:t>
            </w:r>
            <w:r>
              <w:rPr>
                <w:sz w:val="24"/>
              </w:rPr>
              <w:t xml:space="preserve">_</w:t>
            </w:r>
            <w:r>
              <w:rPr>
                <w:sz w:val="24"/>
                <w:lang w:bidi="ar"/>
              </w:rPr>
              <w:t xml:space="preserve">月</w:t>
            </w:r>
            <w:r>
              <w:rPr>
                <w:sz w:val="24"/>
              </w:rPr>
              <w:t xml:space="preserve">_</w:t>
            </w:r>
            <w:r>
              <w:rPr>
                <w:rFonts w:hint="eastAsia"/>
                <w:sz w:val="24"/>
                <w:u w:val="single"/>
              </w:rPr>
              <w:t xml:space="preserve">/</w:t>
            </w:r>
            <w:r>
              <w:rPr>
                <w:sz w:val="24"/>
              </w:rPr>
              <w:t xml:space="preserve">_</w:t>
            </w:r>
            <w:r>
              <w:rPr>
                <w:sz w:val="24"/>
                <w:lang w:bidi="ar"/>
              </w:rPr>
              <w:t xml:space="preserve">日</w:t>
            </w:r>
            <w:r>
              <w:rPr>
                <w:sz w:val="24"/>
              </w:rPr>
              <w:t xml:space="preserve">_</w:t>
            </w:r>
            <w:r>
              <w:rPr>
                <w:rFonts w:hint="eastAsia"/>
                <w:sz w:val="24"/>
                <w:u w:val="single"/>
              </w:rPr>
              <w:t xml:space="preserve">/</w:t>
            </w:r>
            <w:r>
              <w:rPr>
                <w:sz w:val="24"/>
              </w:rPr>
              <w:t xml:space="preserve">_</w:t>
            </w:r>
            <w:r>
              <w:rPr>
                <w:sz w:val="24"/>
                <w:lang w:bidi="ar"/>
              </w:rPr>
              <w:t xml:space="preserve">点</w:t>
            </w:r>
            <w:r>
              <w:rPr>
                <w:sz w:val="24"/>
              </w:rPr>
              <w:t xml:space="preserve">__</w:t>
            </w:r>
            <w:r>
              <w:rPr>
                <w:rFonts w:hint="eastAsia"/>
                <w:sz w:val="24"/>
                <w:u w:val="single"/>
              </w:rPr>
              <w:t xml:space="preserve">/</w:t>
            </w:r>
            <w:r>
              <w:rPr>
                <w:sz w:val="24"/>
              </w:rPr>
              <w:t xml:space="preserve">_</w:t>
            </w:r>
            <w:r>
              <w:rPr>
                <w:sz w:val="24"/>
                <w:lang w:bidi="ar"/>
              </w:rPr>
              <w:t xml:space="preserve">分</w:t>
            </w:r>
            <w:r>
              <w:rPr>
                <w:bCs/>
                <w:sz w:val="24"/>
              </w:rPr>
            </w:r>
            <w:r/>
          </w:p>
          <w:p>
            <w:pPr>
              <w:pStyle w:val="1109"/>
              <w:rPr>
                <w:rFonts w:ascii="Times New Roman" w:hAnsi="Times New Roman"/>
                <w:sz w:val="24"/>
                <w:szCs w:val="24"/>
              </w:rPr>
            </w:pPr>
            <w:r>
              <w:rPr>
                <w:rFonts w:ascii="Times New Roman" w:hAnsi="Times New Roman"/>
                <w:sz w:val="24"/>
              </w:rPr>
              <w:t xml:space="preserve">考察地点：______</w:t>
            </w:r>
            <w:r>
              <w:rPr>
                <w:rFonts w:ascii="Times New Roman" w:hAnsi="Times New Roman"/>
                <w:sz w:val="24"/>
                <w:u w:val="single"/>
              </w:rPr>
              <w:t xml:space="preserve">/</w:t>
            </w:r>
            <w:r>
              <w:rPr>
                <w:rFonts w:ascii="Times New Roman" w:hAnsi="Times New Roman"/>
                <w:sz w:val="24"/>
              </w:rPr>
              <w:t xml:space="preserve">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109"/>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70"/>
              <w:jc w:val="center"/>
              <w:rPr>
                <w:sz w:val="24"/>
              </w:rPr>
            </w:pPr>
            <w:r>
              <w:rPr>
                <w:sz w:val="24"/>
              </w:rPr>
              <w:t xml:space="preserve">磋商前答疑会</w:t>
            </w:r>
            <w:r>
              <w:rPr>
                <w:sz w:val="24"/>
              </w:rPr>
            </w:r>
            <w:r/>
          </w:p>
        </w:tc>
        <w:tc>
          <w:tcPr>
            <w:tcW w:w="7253" w:type="dxa"/>
            <w:vAlign w:val="center"/>
            <w:textDirection w:val="lrTb"/>
            <w:noWrap w:val="false"/>
          </w:tcPr>
          <w:p>
            <w:pPr>
              <w:pStyle w:val="1070"/>
              <w:jc w:val="left"/>
              <w:rPr>
                <w:sz w:val="24"/>
              </w:rPr>
            </w:pPr>
            <w:r>
              <w:rPr>
                <w:b/>
                <w:color w:val="000000"/>
                <w:sz w:val="24"/>
              </w:rPr>
              <w:t xml:space="preserve">■</w:t>
            </w:r>
            <w:r>
              <w:rPr>
                <w:sz w:val="24"/>
              </w:rPr>
              <w:t xml:space="preserve">不召开</w:t>
            </w:r>
            <w:r>
              <w:rPr>
                <w:sz w:val="24"/>
              </w:rPr>
            </w:r>
            <w:r/>
          </w:p>
          <w:p>
            <w:pPr>
              <w:pStyle w:val="1070"/>
              <w:jc w:val="left"/>
              <w:rPr>
                <w:sz w:val="24"/>
              </w:rPr>
            </w:pPr>
            <w:r>
              <w:t xml:space="preserve">□</w:t>
            </w:r>
            <w:r>
              <w:rPr>
                <w:sz w:val="24"/>
              </w:rPr>
              <w:t xml:space="preserve">召开，召开时间：_</w:t>
            </w:r>
            <w:r>
              <w:rPr>
                <w:rFonts w:hint="eastAsia"/>
                <w:sz w:val="24"/>
                <w:u w:val="single"/>
              </w:rPr>
              <w:t xml:space="preserve">/</w:t>
            </w:r>
            <w:r>
              <w:rPr>
                <w:sz w:val="24"/>
              </w:rPr>
              <w:t xml:space="preserve">__</w:t>
            </w:r>
            <w:r>
              <w:rPr>
                <w:sz w:val="24"/>
                <w:lang w:bidi="ar"/>
              </w:rPr>
              <w:t xml:space="preserve">年</w:t>
            </w:r>
            <w:r>
              <w:rPr>
                <w:sz w:val="24"/>
              </w:rPr>
              <w:t xml:space="preserve">__</w:t>
            </w:r>
            <w:r>
              <w:rPr>
                <w:rFonts w:hint="eastAsia"/>
                <w:sz w:val="24"/>
                <w:u w:val="single"/>
              </w:rPr>
              <w:t xml:space="preserve">/</w:t>
            </w:r>
            <w:r>
              <w:rPr>
                <w:sz w:val="24"/>
              </w:rPr>
              <w:t xml:space="preserve">_</w:t>
            </w:r>
            <w:r>
              <w:rPr>
                <w:sz w:val="24"/>
                <w:lang w:bidi="ar"/>
              </w:rPr>
              <w:t xml:space="preserve">月</w:t>
            </w:r>
            <w:r>
              <w:rPr>
                <w:sz w:val="24"/>
              </w:rPr>
              <w:t xml:space="preserve">__</w:t>
            </w:r>
            <w:r>
              <w:rPr>
                <w:rFonts w:hint="eastAsia"/>
                <w:sz w:val="24"/>
                <w:u w:val="single"/>
              </w:rPr>
              <w:t xml:space="preserve">/</w:t>
            </w:r>
            <w:r>
              <w:rPr>
                <w:sz w:val="24"/>
              </w:rPr>
              <w:t xml:space="preserve">_</w:t>
            </w:r>
            <w:r>
              <w:rPr>
                <w:sz w:val="24"/>
                <w:lang w:bidi="ar"/>
              </w:rPr>
              <w:t xml:space="preserve">日</w:t>
            </w:r>
            <w:r>
              <w:rPr>
                <w:sz w:val="24"/>
              </w:rPr>
              <w:t xml:space="preserve">__</w:t>
            </w:r>
            <w:r>
              <w:rPr>
                <w:rFonts w:hint="eastAsia"/>
                <w:sz w:val="24"/>
                <w:u w:val="single"/>
              </w:rPr>
              <w:t xml:space="preserve">/</w:t>
            </w:r>
            <w:r>
              <w:rPr>
                <w:sz w:val="24"/>
              </w:rPr>
              <w:t xml:space="preserve">_</w:t>
            </w:r>
            <w:r>
              <w:rPr>
                <w:sz w:val="24"/>
                <w:lang w:bidi="ar"/>
              </w:rPr>
              <w:t xml:space="preserve">点</w:t>
            </w:r>
            <w:r>
              <w:rPr>
                <w:sz w:val="24"/>
              </w:rPr>
              <w:t xml:space="preserve">_</w:t>
            </w:r>
            <w:r>
              <w:rPr>
                <w:rFonts w:hint="eastAsia"/>
                <w:sz w:val="24"/>
                <w:u w:val="single"/>
              </w:rPr>
              <w:t xml:space="preserve">/</w:t>
            </w:r>
            <w:r>
              <w:rPr>
                <w:sz w:val="24"/>
              </w:rPr>
              <w:t xml:space="preserve">__</w:t>
            </w:r>
            <w:r>
              <w:rPr>
                <w:sz w:val="24"/>
                <w:lang w:bidi="ar"/>
              </w:rPr>
              <w:t xml:space="preserve">分</w:t>
            </w:r>
            <w:r>
              <w:rPr>
                <w:sz w:val="24"/>
              </w:rPr>
            </w:r>
            <w:r/>
          </w:p>
          <w:p>
            <w:pPr>
              <w:pStyle w:val="1070"/>
              <w:jc w:val="left"/>
              <w:rPr>
                <w:sz w:val="24"/>
              </w:rPr>
            </w:pPr>
            <w:r>
              <w:rPr>
                <w:sz w:val="24"/>
              </w:rPr>
              <w:t xml:space="preserve">召开地点：____</w:t>
            </w:r>
            <w:r>
              <w:rPr>
                <w:rFonts w:hint="eastAsia"/>
                <w:sz w:val="24"/>
                <w:u w:val="single"/>
              </w:rPr>
              <w:t xml:space="preserve">/</w:t>
            </w:r>
            <w:r>
              <w:rPr>
                <w:sz w:val="24"/>
              </w:rPr>
              <w:t xml:space="preserve">_______</w:t>
            </w:r>
            <w:r>
              <w:rPr>
                <w:rFonts w:hint="eastAsia"/>
                <w:sz w:val="24"/>
              </w:rPr>
              <w:t xml:space="preserve">。</w:t>
            </w:r>
            <w:r>
              <w:rPr>
                <w:sz w:val="24"/>
              </w:rPr>
            </w:r>
            <w:r/>
          </w:p>
        </w:tc>
      </w:tr>
      <w:tr>
        <w:trPr>
          <w:trHeight w:val="1535"/>
        </w:trPr>
        <w:tc>
          <w:tcPr>
            <w:tcW w:w="988" w:type="dxa"/>
            <w:vAlign w:val="center"/>
            <w:textDirection w:val="lrTb"/>
            <w:noWrap w:val="false"/>
          </w:tcPr>
          <w:p>
            <w:pPr>
              <w:pStyle w:val="1109"/>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070"/>
              <w:jc w:val="center"/>
              <w:rPr>
                <w:sz w:val="24"/>
              </w:rPr>
            </w:pPr>
            <w:r>
              <w:rPr>
                <w:sz w:val="24"/>
              </w:rPr>
              <w:t xml:space="preserve">标的所属行业</w:t>
            </w:r>
            <w:r>
              <w:rPr>
                <w:sz w:val="24"/>
              </w:rPr>
            </w:r>
            <w:r/>
          </w:p>
        </w:tc>
        <w:tc>
          <w:tcPr>
            <w:tcW w:w="7253" w:type="dxa"/>
            <w:vAlign w:val="center"/>
            <w:textDirection w:val="lrTb"/>
            <w:noWrap w:val="false"/>
          </w:tcPr>
          <w:p>
            <w:pPr>
              <w:pStyle w:val="1070"/>
              <w:jc w:val="left"/>
              <w:rPr>
                <w:sz w:val="24"/>
              </w:rPr>
            </w:pPr>
            <w:r>
              <w:rPr>
                <w:sz w:val="24"/>
              </w:rPr>
              <w:t xml:space="preserve">本项目</w:t>
            </w:r>
            <w:r>
              <w:rPr>
                <w:rFonts w:hint="eastAsia" w:ascii="宋体" w:hAnsi="宋体" w:cs="宋体"/>
                <w:sz w:val="24"/>
              </w:rPr>
              <w:t xml:space="preserve">属于</w:t>
            </w:r>
            <w:r>
              <w:rPr>
                <w:rFonts w:hint="eastAsia" w:ascii="宋体" w:hAnsi="宋体" w:cs="宋体"/>
                <w:sz w:val="24"/>
                <w:u w:val="single"/>
              </w:rPr>
              <w:t xml:space="preserve">服务类，</w:t>
            </w:r>
            <w:r>
              <w:rPr>
                <w:sz w:val="24"/>
              </w:rPr>
              <w:t xml:space="preserve">采购标的对应的中小企业划分标准所属行业：</w:t>
            </w:r>
            <w:r>
              <w:rPr>
                <w:rFonts w:hint="eastAsia"/>
                <w:sz w:val="24"/>
                <w:u w:val="single"/>
              </w:rPr>
              <w:t xml:space="preserve">其他未列明行业</w:t>
            </w:r>
            <w:r>
              <w:rPr>
                <w:sz w:val="24"/>
              </w:rPr>
            </w:r>
            <w:r/>
          </w:p>
        </w:tc>
      </w:tr>
      <w:tr>
        <w:trPr>
          <w:trHeight w:val="890"/>
        </w:trPr>
        <w:tc>
          <w:tcPr>
            <w:tcW w:w="988" w:type="dxa"/>
            <w:vAlign w:val="center"/>
            <w:textDirection w:val="lrTb"/>
            <w:noWrap w:val="false"/>
          </w:tcPr>
          <w:p>
            <w:pPr>
              <w:pStyle w:val="1109"/>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1070"/>
              <w:jc w:val="center"/>
              <w:rPr>
                <w:sz w:val="24"/>
              </w:rPr>
            </w:pPr>
            <w:r>
              <w:rPr>
                <w:sz w:val="24"/>
              </w:rPr>
              <w:t xml:space="preserve">报价</w:t>
            </w:r>
            <w:r>
              <w:rPr>
                <w:sz w:val="24"/>
              </w:rPr>
            </w:r>
            <w:r/>
          </w:p>
        </w:tc>
        <w:tc>
          <w:tcPr>
            <w:tcW w:w="7253" w:type="dxa"/>
            <w:vAlign w:val="center"/>
            <w:textDirection w:val="lrTb"/>
            <w:noWrap w:val="false"/>
          </w:tcPr>
          <w:p>
            <w:pPr>
              <w:pStyle w:val="1070"/>
              <w:jc w:val="left"/>
              <w:rPr>
                <w:sz w:val="24"/>
              </w:rPr>
            </w:pPr>
            <w:r>
              <w:rPr>
                <w:sz w:val="24"/>
              </w:rPr>
              <w:t xml:space="preserve">报价的特殊规定：</w:t>
            </w:r>
            <w:r>
              <w:rPr>
                <w:sz w:val="24"/>
              </w:rPr>
            </w:r>
            <w:r/>
          </w:p>
          <w:p>
            <w:pPr>
              <w:pStyle w:val="1070"/>
              <w:jc w:val="left"/>
              <w:rPr>
                <w:sz w:val="24"/>
              </w:rPr>
            </w:pPr>
            <w:r>
              <w:t xml:space="preserve">□</w:t>
            </w:r>
            <w:r>
              <w:rPr>
                <w:sz w:val="24"/>
              </w:rPr>
              <w:t xml:space="preserve">无</w:t>
            </w:r>
            <w:r>
              <w:rPr>
                <w:sz w:val="24"/>
              </w:rPr>
            </w:r>
            <w:r/>
          </w:p>
          <w:p>
            <w:pPr>
              <w:pStyle w:val="1070"/>
              <w:jc w:val="left"/>
              <w:rPr>
                <w:sz w:val="24"/>
              </w:rPr>
            </w:pPr>
            <w:r>
              <w:rPr>
                <w:b/>
                <w:color w:val="000000"/>
                <w:sz w:val="24"/>
              </w:rPr>
              <w:t xml:space="preserve">■</w:t>
            </w:r>
            <w:r>
              <w:rPr>
                <w:sz w:val="24"/>
              </w:rPr>
              <w:t xml:space="preserve">有，具体情形：</w:t>
            </w:r>
            <w:r>
              <w:rPr>
                <w:rFonts w:hint="eastAsia"/>
                <w:sz w:val="24"/>
                <w:u w:val="single"/>
              </w:rPr>
              <w:t xml:space="preserve">二轮报价</w:t>
            </w:r>
            <w:r>
              <w:rPr>
                <w:sz w:val="24"/>
              </w:rPr>
              <w:t xml:space="preserve">。</w:t>
            </w:r>
            <w:r>
              <w:rPr>
                <w:sz w:val="24"/>
              </w:rPr>
            </w:r>
            <w:r/>
          </w:p>
        </w:tc>
      </w:tr>
      <w:tr>
        <w:trPr>
          <w:trHeight w:val="20"/>
        </w:trPr>
        <w:tc>
          <w:tcPr>
            <w:tcW w:w="988" w:type="dxa"/>
            <w:vAlign w:val="center"/>
            <w:textDirection w:val="lrTb"/>
            <w:noWrap w:val="false"/>
          </w:tcPr>
          <w:p>
            <w:pPr>
              <w:pStyle w:val="1109"/>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1070"/>
              <w:jc w:val="center"/>
              <w:rPr>
                <w:sz w:val="24"/>
              </w:rPr>
            </w:pPr>
            <w:r>
              <w:rPr>
                <w:sz w:val="24"/>
              </w:rPr>
              <w:t xml:space="preserve">磋商保证金</w:t>
            </w:r>
            <w:r>
              <w:rPr>
                <w:sz w:val="24"/>
              </w:rPr>
            </w:r>
            <w:r/>
          </w:p>
        </w:tc>
        <w:tc>
          <w:tcPr>
            <w:tcW w:w="7253" w:type="dxa"/>
            <w:vAlign w:val="center"/>
            <w:textDirection w:val="lrTb"/>
            <w:noWrap w:val="false"/>
          </w:tcPr>
          <w:p>
            <w:pPr>
              <w:pStyle w:val="1070"/>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109"/>
              <w:jc w:val="center"/>
              <w:rPr>
                <w:rFonts w:ascii="Times New Roman" w:hAnsi="Times New Roman"/>
                <w:sz w:val="24"/>
                <w:szCs w:val="24"/>
              </w:rPr>
            </w:pPr>
            <w:r>
              <w:rPr>
                <w:rFonts w:ascii="Times New Roman" w:hAnsi="Times New Roman"/>
                <w:sz w:val="24"/>
                <w:szCs w:val="24"/>
              </w:rPr>
              <w:t xml:space="preserve">11.1.2</w:t>
            </w:r>
            <w:r>
              <w:rPr>
                <w:rFonts w:ascii="Times New Roman" w:hAnsi="Times New Roman"/>
                <w:sz w:val="24"/>
                <w:szCs w:val="24"/>
              </w:rPr>
            </w:r>
            <w:r/>
          </w:p>
        </w:tc>
        <w:tc>
          <w:tcPr>
            <w:tcW w:w="1701" w:type="dxa"/>
            <w:vAlign w:val="center"/>
            <w:textDirection w:val="lrTb"/>
            <w:noWrap w:val="false"/>
          </w:tcPr>
          <w:p>
            <w:pPr>
              <w:pStyle w:val="1070"/>
              <w:jc w:val="center"/>
              <w:rPr>
                <w:sz w:val="24"/>
              </w:rPr>
            </w:pPr>
            <w:r>
              <w:rPr>
                <w:rFonts w:hint="eastAsia"/>
                <w:sz w:val="24"/>
              </w:rPr>
              <w:t xml:space="preserve">履约保证金</w:t>
            </w:r>
            <w:r>
              <w:rPr>
                <w:sz w:val="24"/>
              </w:rPr>
            </w:r>
            <w:r/>
          </w:p>
        </w:tc>
        <w:tc>
          <w:tcPr>
            <w:tcW w:w="7253" w:type="dxa"/>
            <w:vAlign w:val="center"/>
            <w:textDirection w:val="lrTb"/>
            <w:noWrap w:val="false"/>
          </w:tcPr>
          <w:p>
            <w:pPr>
              <w:pStyle w:val="1070"/>
              <w:jc w:val="left"/>
              <w:rPr>
                <w:rFonts w:hint="eastAsia" w:eastAsia="宋体"/>
                <w:sz w:val="24"/>
                <w:lang w:eastAsia="zh-CN"/>
              </w:rPr>
            </w:pPr>
            <w:r>
              <w:rPr>
                <w:rFonts w:hint="eastAsia" w:ascii="宋体" w:hAnsi="宋体" w:eastAsia="宋体" w:cs="Times New Roman"/>
                <w:b/>
                <w:bCs/>
                <w:color w:val="000000"/>
                <w:sz w:val="24"/>
                <w:highlight w:val="white"/>
                <w:lang w:val="en-US" w:eastAsia="zh-CN"/>
              </w:rPr>
              <w:t xml:space="preserve">/</w:t>
            </w:r>
            <w:r>
              <w:rPr>
                <w:rFonts w:hint="eastAsia" w:eastAsia="宋体"/>
                <w:sz w:val="24"/>
                <w:lang w:eastAsia="zh-CN"/>
              </w:rPr>
            </w:r>
            <w:r/>
          </w:p>
        </w:tc>
      </w:tr>
      <w:tr>
        <w:trPr>
          <w:trHeight w:val="20"/>
        </w:trPr>
        <w:tc>
          <w:tcPr>
            <w:tcW w:w="988" w:type="dxa"/>
            <w:vAlign w:val="center"/>
            <w:textDirection w:val="lrTb"/>
            <w:noWrap w:val="false"/>
          </w:tcPr>
          <w:p>
            <w:pPr>
              <w:pStyle w:val="1109"/>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1070"/>
              <w:jc w:val="center"/>
              <w:rPr>
                <w:sz w:val="24"/>
              </w:rPr>
            </w:pPr>
            <w:r>
              <w:rPr>
                <w:sz w:val="24"/>
              </w:rPr>
              <w:t xml:space="preserve">响应有效期</w:t>
            </w:r>
            <w:r>
              <w:rPr>
                <w:sz w:val="24"/>
              </w:rPr>
            </w:r>
            <w:r/>
          </w:p>
        </w:tc>
        <w:tc>
          <w:tcPr>
            <w:tcW w:w="7253" w:type="dxa"/>
            <w:vAlign w:val="center"/>
            <w:textDirection w:val="lrTb"/>
            <w:noWrap w:val="false"/>
          </w:tcPr>
          <w:p>
            <w:pPr>
              <w:pStyle w:val="1070"/>
              <w:jc w:val="left"/>
              <w:rPr>
                <w:sz w:val="24"/>
              </w:rPr>
            </w:pPr>
            <w:r>
              <w:rPr>
                <w:sz w:val="24"/>
              </w:rPr>
              <w:t xml:space="preserve">自提交响应文件的截止之日起算</w:t>
            </w:r>
            <w:r>
              <w:rPr>
                <w:rFonts w:hint="eastAsia"/>
                <w:sz w:val="24"/>
                <w:u w:val="single"/>
              </w:rPr>
              <w:t xml:space="preserve">  60  </w:t>
            </w:r>
            <w:r>
              <w:rPr>
                <w:sz w:val="24"/>
              </w:rPr>
              <w:t xml:space="preserve">日历天。</w:t>
            </w:r>
            <w:r>
              <w:rPr>
                <w:sz w:val="24"/>
              </w:rPr>
            </w:r>
            <w:r/>
          </w:p>
        </w:tc>
      </w:tr>
      <w:tr>
        <w:trPr>
          <w:trHeight w:val="20"/>
        </w:trPr>
        <w:tc>
          <w:tcPr>
            <w:tcW w:w="988" w:type="dxa"/>
            <w:vAlign w:val="center"/>
            <w:textDirection w:val="lrTb"/>
            <w:noWrap w:val="false"/>
          </w:tcPr>
          <w:p>
            <w:pPr>
              <w:pStyle w:val="1109"/>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1070"/>
              <w:jc w:val="center"/>
              <w:rPr>
                <w:sz w:val="24"/>
              </w:rPr>
            </w:pPr>
            <w:r>
              <w:rPr>
                <w:sz w:val="24"/>
              </w:rPr>
              <w:t xml:space="preserve">分包</w:t>
            </w:r>
            <w:r>
              <w:rPr>
                <w:sz w:val="24"/>
              </w:rPr>
            </w:r>
            <w:r/>
          </w:p>
        </w:tc>
        <w:tc>
          <w:tcPr>
            <w:tcW w:w="7253" w:type="dxa"/>
            <w:vAlign w:val="center"/>
            <w:textDirection w:val="lrTb"/>
            <w:noWrap w:val="false"/>
          </w:tcPr>
          <w:p>
            <w:pPr>
              <w:pStyle w:val="1070"/>
              <w:jc w:val="left"/>
              <w:rPr>
                <w:sz w:val="24"/>
              </w:rPr>
            </w:pPr>
            <w:r>
              <w:rPr>
                <w:sz w:val="24"/>
              </w:rPr>
              <w:t xml:space="preserve">本项目是否允许分包： </w:t>
            </w:r>
            <w:r>
              <w:rPr>
                <w:sz w:val="24"/>
              </w:rPr>
            </w:r>
            <w:r/>
          </w:p>
          <w:p>
            <w:pPr>
              <w:pStyle w:val="1070"/>
              <w:jc w:val="left"/>
              <w:rPr>
                <w:sz w:val="24"/>
              </w:rPr>
            </w:pPr>
            <w:r>
              <w:rPr>
                <w:b/>
                <w:color w:val="000000"/>
                <w:sz w:val="24"/>
              </w:rPr>
              <w:t xml:space="preserve">■</w:t>
            </w:r>
            <w:r>
              <w:rPr>
                <w:sz w:val="24"/>
              </w:rPr>
              <w:t xml:space="preserve">不允许</w:t>
            </w:r>
            <w:r>
              <w:rPr>
                <w:sz w:val="24"/>
              </w:rPr>
            </w:r>
            <w:r/>
          </w:p>
          <w:p>
            <w:pPr>
              <w:pStyle w:val="1070"/>
              <w:jc w:val="left"/>
              <w:rPr>
                <w:sz w:val="24"/>
              </w:rPr>
            </w:pPr>
            <w:r>
              <w:t xml:space="preserve">□</w:t>
            </w:r>
            <w:r>
              <w:rPr>
                <w:sz w:val="24"/>
              </w:rPr>
              <w:t xml:space="preserve">允许，具体要求：____</w:t>
            </w:r>
            <w:r>
              <w:rPr>
                <w:rFonts w:hint="eastAsia"/>
                <w:sz w:val="24"/>
                <w:u w:val="single"/>
              </w:rPr>
              <w:t xml:space="preserve">/</w:t>
            </w:r>
            <w:r>
              <w:rPr>
                <w:sz w:val="24"/>
              </w:rPr>
              <w:t xml:space="preserve">___。</w:t>
            </w:r>
            <w:r>
              <w:rPr>
                <w:sz w:val="24"/>
              </w:rPr>
            </w:r>
            <w:r/>
          </w:p>
          <w:p>
            <w:pPr>
              <w:pStyle w:val="1070"/>
              <w:jc w:val="left"/>
              <w:rPr>
                <w:sz w:val="24"/>
              </w:rPr>
            </w:pPr>
            <w:r>
              <w:rPr>
                <w:sz w:val="24"/>
              </w:rPr>
              <w:t xml:space="preserve">（1）可以分包履行的具体内容：___</w:t>
            </w:r>
            <w:r>
              <w:rPr>
                <w:rFonts w:hint="eastAsia"/>
                <w:sz w:val="24"/>
                <w:u w:val="single"/>
              </w:rPr>
              <w:t xml:space="preserve">/</w:t>
            </w:r>
            <w:r>
              <w:rPr>
                <w:sz w:val="24"/>
              </w:rPr>
              <w:t xml:space="preserve">____；</w:t>
            </w:r>
            <w:r>
              <w:rPr>
                <w:sz w:val="24"/>
              </w:rPr>
            </w:r>
            <w:r/>
          </w:p>
          <w:p>
            <w:pPr>
              <w:pStyle w:val="1070"/>
              <w:jc w:val="left"/>
              <w:rPr>
                <w:sz w:val="24"/>
              </w:rPr>
            </w:pPr>
            <w:r>
              <w:rPr>
                <w:sz w:val="24"/>
              </w:rPr>
              <w:t xml:space="preserve">（2）允许分包的金额或者比例：____</w:t>
            </w:r>
            <w:r>
              <w:rPr>
                <w:rFonts w:hint="eastAsia"/>
                <w:sz w:val="24"/>
                <w:u w:val="single"/>
              </w:rPr>
              <w:t xml:space="preserve">/</w:t>
            </w:r>
            <w:r>
              <w:rPr>
                <w:sz w:val="24"/>
              </w:rPr>
              <w:t xml:space="preserve">___；</w:t>
            </w:r>
            <w:r>
              <w:rPr>
                <w:sz w:val="24"/>
              </w:rPr>
            </w:r>
            <w:r/>
          </w:p>
          <w:p>
            <w:pPr>
              <w:pStyle w:val="1070"/>
              <w:jc w:val="left"/>
              <w:rPr>
                <w:sz w:val="24"/>
                <w:u w:val="single"/>
              </w:rPr>
            </w:pPr>
            <w:r>
              <w:rPr>
                <w:sz w:val="24"/>
              </w:rPr>
              <w:t xml:space="preserve">（3）其他要求：____</w:t>
            </w:r>
            <w:r>
              <w:rPr>
                <w:rFonts w:hint="eastAsia"/>
                <w:sz w:val="24"/>
                <w:u w:val="single"/>
              </w:rPr>
              <w:t xml:space="preserve">/</w:t>
            </w:r>
            <w:r>
              <w:rPr>
                <w:sz w:val="24"/>
              </w:rPr>
              <w:t xml:space="preserve">___。</w:t>
            </w:r>
            <w:r>
              <w:rPr>
                <w:sz w:val="24"/>
                <w:u w:val="single"/>
              </w:rPr>
            </w:r>
            <w:r/>
          </w:p>
        </w:tc>
      </w:tr>
      <w:tr>
        <w:trPr>
          <w:trHeight w:val="20"/>
        </w:trPr>
        <w:tc>
          <w:tcPr>
            <w:tcW w:w="988" w:type="dxa"/>
            <w:vAlign w:val="center"/>
            <w:textDirection w:val="lrTb"/>
            <w:noWrap w:val="false"/>
          </w:tcPr>
          <w:p>
            <w:pPr>
              <w:pStyle w:val="1109"/>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1070"/>
              <w:jc w:val="center"/>
              <w:rPr>
                <w:sz w:val="24"/>
              </w:rPr>
            </w:pPr>
            <w:r>
              <w:rPr>
                <w:sz w:val="24"/>
              </w:rPr>
              <w:t xml:space="preserve">询问</w:t>
            </w:r>
            <w:r>
              <w:rPr>
                <w:sz w:val="24"/>
              </w:rPr>
            </w:r>
            <w:r/>
          </w:p>
        </w:tc>
        <w:tc>
          <w:tcPr>
            <w:tcW w:w="7253" w:type="dxa"/>
            <w:vAlign w:val="center"/>
            <w:textDirection w:val="lrTb"/>
            <w:noWrap w:val="false"/>
          </w:tcPr>
          <w:p>
            <w:pPr>
              <w:pStyle w:val="1070"/>
              <w:jc w:val="left"/>
              <w:rPr>
                <w:rFonts w:eastAsia="宋体"/>
                <w:sz w:val="24"/>
                <w:lang w:val="en-US" w:eastAsia="zh-CN"/>
              </w:rPr>
            </w:pPr>
            <w:r>
              <w:rPr>
                <w:sz w:val="24"/>
              </w:rPr>
              <w:t xml:space="preserve">询问送达形式：</w:t>
            </w:r>
            <w:r>
              <w:rPr>
                <w:rFonts w:hint="eastAsia" w:ascii="宋体" w:hAnsi="宋体" w:cs="宋体"/>
                <w:sz w:val="24"/>
              </w:rPr>
              <w:t xml:space="preserve">于</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日</w:t>
            </w:r>
            <w:r>
              <w:rPr>
                <w:rFonts w:hint="eastAsia" w:ascii="宋体" w:hAnsi="宋体" w:cs="宋体"/>
                <w:sz w:val="24"/>
              </w:rPr>
              <w:t xml:space="preserve">上午9</w:t>
            </w:r>
            <w:r>
              <w:rPr>
                <w:rFonts w:hint="eastAsia" w:ascii="宋体" w:hAnsi="宋体" w:cs="宋体"/>
                <w:sz w:val="24"/>
                <w:lang w:eastAsia="zh-CN"/>
              </w:rPr>
              <w:t xml:space="preserve">:</w:t>
            </w:r>
            <w:r>
              <w:rPr>
                <w:rFonts w:hint="eastAsia" w:ascii="宋体" w:hAnsi="宋体" w:cs="宋体"/>
                <w:sz w:val="24"/>
              </w:rPr>
              <w:t xml:space="preserve">30前以书面形式递交至江苏苏南项目管理有限公司</w:t>
            </w:r>
            <w:r>
              <w:rPr>
                <w:rFonts w:hint="eastAsia" w:ascii="宋体" w:hAnsi="宋体" w:cs="宋体"/>
                <w:sz w:val="24"/>
                <w:lang w:eastAsia="zh-CN"/>
              </w:rPr>
              <w:t xml:space="preserve">，</w:t>
            </w:r>
            <w:r>
              <w:rPr>
                <w:rFonts w:hint="eastAsia" w:ascii="宋体" w:hAnsi="宋体" w:cs="宋体"/>
                <w:sz w:val="24"/>
                <w:lang w:val="en-US" w:eastAsia="zh-CN"/>
              </w:rPr>
              <w:t xml:space="preserve">超时提交的询问或质疑将被拒收，视为对本次招标无异议。</w:t>
            </w:r>
            <w:r>
              <w:rPr>
                <w:rFonts w:eastAsia="宋体"/>
                <w:sz w:val="24"/>
                <w:lang w:val="en-US" w:eastAsia="zh-CN"/>
              </w:rPr>
            </w:r>
            <w:r/>
          </w:p>
        </w:tc>
      </w:tr>
      <w:tr>
        <w:trPr>
          <w:trHeight w:val="20"/>
        </w:trPr>
        <w:tc>
          <w:tcPr>
            <w:tcW w:w="988" w:type="dxa"/>
            <w:vAlign w:val="center"/>
            <w:textDirection w:val="lrTb"/>
            <w:noWrap w:val="false"/>
          </w:tcPr>
          <w:p>
            <w:pPr>
              <w:pStyle w:val="1109"/>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1070"/>
              <w:jc w:val="center"/>
              <w:rPr>
                <w:sz w:val="24"/>
              </w:rPr>
            </w:pPr>
            <w:r>
              <w:rPr>
                <w:sz w:val="24"/>
              </w:rPr>
              <w:t xml:space="preserve">联系方式</w:t>
            </w:r>
            <w:r>
              <w:rPr>
                <w:sz w:val="24"/>
              </w:rPr>
            </w:r>
            <w:r/>
          </w:p>
        </w:tc>
        <w:tc>
          <w:tcPr>
            <w:tcW w:w="7253" w:type="dxa"/>
            <w:vAlign w:val="center"/>
            <w:textDirection w:val="lrTb"/>
            <w:noWrap w:val="false"/>
          </w:tcPr>
          <w:p>
            <w:pPr>
              <w:pStyle w:val="1070"/>
              <w:jc w:val="left"/>
              <w:rPr>
                <w:sz w:val="24"/>
              </w:rPr>
            </w:pPr>
            <w:r>
              <w:rPr>
                <w:sz w:val="24"/>
              </w:rPr>
              <w:t xml:space="preserve">接收询问和质疑的联系方式</w:t>
            </w:r>
            <w:r>
              <w:rPr>
                <w:sz w:val="24"/>
              </w:rPr>
            </w:r>
            <w:r/>
          </w:p>
          <w:p>
            <w:pPr>
              <w:pStyle w:val="1070"/>
              <w:jc w:val="left"/>
              <w:rPr>
                <w:sz w:val="24"/>
              </w:rPr>
            </w:pPr>
            <w:r>
              <w:rPr>
                <w:sz w:val="24"/>
              </w:rPr>
              <w:t xml:space="preserve">联系部门：</w:t>
            </w:r>
            <w:r>
              <w:rPr>
                <w:rFonts w:hint="eastAsia"/>
                <w:sz w:val="24"/>
                <w:u w:val="single"/>
              </w:rPr>
              <w:t xml:space="preserve">江苏苏南项目管理有限公司</w:t>
            </w:r>
            <w:r>
              <w:rPr>
                <w:sz w:val="24"/>
              </w:rPr>
              <w:t xml:space="preserve">；</w:t>
            </w:r>
            <w:r>
              <w:rPr>
                <w:sz w:val="24"/>
              </w:rPr>
            </w:r>
            <w:r/>
          </w:p>
          <w:p>
            <w:pPr>
              <w:pStyle w:val="1070"/>
              <w:jc w:val="left"/>
              <w:rPr>
                <w:sz w:val="24"/>
              </w:rPr>
            </w:pPr>
            <w:r>
              <w:rPr>
                <w:sz w:val="24"/>
              </w:rPr>
              <w:t xml:space="preserve">联系电话：</w:t>
            </w:r>
            <w:r>
              <w:rPr>
                <w:rFonts w:hint="eastAsia"/>
                <w:sz w:val="24"/>
                <w:u w:val="single"/>
              </w:rPr>
              <w:t xml:space="preserve">0519-87278789</w:t>
            </w:r>
            <w:r>
              <w:rPr>
                <w:sz w:val="24"/>
              </w:rPr>
              <w:t xml:space="preserve">；</w:t>
            </w:r>
            <w:r>
              <w:rPr>
                <w:sz w:val="24"/>
              </w:rPr>
            </w:r>
            <w:r/>
          </w:p>
          <w:p>
            <w:pPr>
              <w:pStyle w:val="1070"/>
              <w:jc w:val="left"/>
              <w:rPr>
                <w:sz w:val="24"/>
              </w:rPr>
            </w:pPr>
            <w:r>
              <w:rPr>
                <w:sz w:val="24"/>
              </w:rPr>
              <w:t xml:space="preserve">通讯地址：</w:t>
            </w:r>
            <w:r>
              <w:rPr>
                <w:rFonts w:hint="eastAsia"/>
                <w:sz w:val="24"/>
                <w:u w:val="single"/>
              </w:rPr>
              <w:t xml:space="preserve">溧阳市游子吟大道263号汉宇大厦40</w:t>
            </w:r>
            <w:r>
              <w:rPr>
                <w:rFonts w:hint="eastAsia"/>
                <w:sz w:val="24"/>
                <w:u w:val="single"/>
                <w:lang w:val="en-US" w:eastAsia="zh-CN"/>
              </w:rPr>
              <w:t xml:space="preserve">7</w:t>
            </w:r>
            <w:r>
              <w:rPr>
                <w:rFonts w:hint="eastAsia"/>
                <w:sz w:val="24"/>
                <w:u w:val="single"/>
              </w:rPr>
              <w:t xml:space="preserve">室</w:t>
            </w:r>
            <w:r>
              <w:rPr>
                <w:sz w:val="24"/>
              </w:rPr>
              <w:t xml:space="preserve">。</w:t>
            </w:r>
            <w:r>
              <w:rPr>
                <w:sz w:val="24"/>
              </w:rPr>
            </w:r>
            <w:r/>
          </w:p>
        </w:tc>
      </w:tr>
      <w:tr>
        <w:trPr>
          <w:trHeight w:val="20"/>
        </w:trPr>
        <w:tc>
          <w:tcPr>
            <w:tcW w:w="988" w:type="dxa"/>
            <w:vAlign w:val="center"/>
            <w:textDirection w:val="lrTb"/>
            <w:noWrap w:val="false"/>
          </w:tcPr>
          <w:p>
            <w:pPr>
              <w:pStyle w:val="1109"/>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070"/>
              <w:jc w:val="center"/>
              <w:rPr>
                <w:sz w:val="24"/>
              </w:rPr>
            </w:pPr>
            <w:r>
              <w:rPr>
                <w:sz w:val="24"/>
              </w:rPr>
              <w:t xml:space="preserve">代理费</w:t>
            </w:r>
            <w:r>
              <w:rPr>
                <w:sz w:val="24"/>
              </w:rPr>
            </w:r>
            <w:r/>
          </w:p>
        </w:tc>
        <w:tc>
          <w:tcPr>
            <w:tcW w:w="7253" w:type="dxa"/>
            <w:vAlign w:val="center"/>
            <w:textDirection w:val="lrTb"/>
            <w:noWrap w:val="false"/>
          </w:tcPr>
          <w:p>
            <w:pPr>
              <w:pStyle w:val="1070"/>
              <w:jc w:val="left"/>
              <w:rPr>
                <w:sz w:val="24"/>
              </w:rPr>
            </w:pPr>
            <w:r>
              <w:rPr>
                <w:sz w:val="24"/>
              </w:rPr>
              <w:t xml:space="preserve">收费对象：</w:t>
            </w:r>
            <w:r>
              <w:rPr>
                <w:sz w:val="24"/>
              </w:rPr>
            </w:r>
            <w:r/>
          </w:p>
          <w:p>
            <w:pPr>
              <w:pStyle w:val="1070"/>
              <w:jc w:val="left"/>
              <w:rPr>
                <w:sz w:val="24"/>
              </w:rPr>
            </w:pPr>
            <w:r>
              <w:rPr>
                <w:rFonts w:ascii="Wingdings 2" w:hAnsi="Wingdings 2" w:eastAsia="Wingdings 2" w:cs="Wingdings 2"/>
                <w:sz w:val="24"/>
              </w:rPr>
              <w:t xml:space="preserve">£</w:t>
            </w:r>
            <w:r>
              <w:rPr>
                <w:sz w:val="24"/>
              </w:rPr>
              <w:t xml:space="preserve">采购人</w:t>
            </w:r>
            <w:r>
              <w:rPr>
                <w:sz w:val="24"/>
              </w:rPr>
            </w:r>
            <w:r/>
          </w:p>
          <w:p>
            <w:pPr>
              <w:pStyle w:val="1070"/>
              <w:jc w:val="left"/>
              <w:rPr>
                <w:sz w:val="24"/>
              </w:rPr>
            </w:pPr>
            <w:r>
              <w:rPr>
                <w:b/>
                <w:color w:val="000000"/>
                <w:sz w:val="24"/>
              </w:rPr>
              <w:t xml:space="preserve">■</w:t>
            </w:r>
            <w:r>
              <w:rPr>
                <w:sz w:val="24"/>
              </w:rPr>
              <w:t xml:space="preserve">成交供应商</w:t>
            </w:r>
            <w:r>
              <w:rPr>
                <w:sz w:val="24"/>
              </w:rPr>
            </w:r>
            <w:r/>
          </w:p>
          <w:p>
            <w:pPr>
              <w:pStyle w:val="1070"/>
              <w:rPr>
                <w:rFonts w:hint="eastAsia" w:ascii="宋体" w:hAnsi="宋体" w:cs="宋体"/>
                <w:b/>
                <w:bCs/>
                <w:sz w:val="24"/>
                <w:highlight w:val="yellow"/>
                <w:u w:val="single"/>
              </w:rPr>
            </w:pPr>
            <w:r>
              <w:rPr>
                <w:rFonts w:hint="eastAsia" w:ascii="宋体" w:hAnsi="宋体" w:cs="宋体"/>
                <w:sz w:val="24"/>
              </w:rPr>
              <w:t xml:space="preserve">收费标准：按苏招协</w:t>
            </w:r>
            <w:r>
              <w:rPr>
                <w:rFonts w:hint="eastAsia" w:ascii="宋体" w:hAnsi="宋体" w:cs="宋体"/>
                <w:sz w:val="24"/>
                <w:lang w:eastAsia="zh-CN"/>
              </w:rPr>
              <w:t xml:space="preserve">〔2022〕2号</w:t>
            </w:r>
            <w:r>
              <w:rPr>
                <w:rFonts w:hint="eastAsia" w:ascii="宋体" w:hAnsi="宋体" w:cs="宋体"/>
                <w:sz w:val="24"/>
                <w:lang w:val="en-US" w:eastAsia="zh-CN"/>
              </w:rPr>
              <w:t xml:space="preserve">文</w:t>
            </w:r>
            <w:r>
              <w:rPr>
                <w:rFonts w:hint="eastAsia" w:ascii="宋体" w:hAnsi="宋体" w:cs="宋体"/>
                <w:sz w:val="24"/>
              </w:rPr>
              <w:t xml:space="preserve">计取；</w:t>
            </w:r>
            <w:r>
              <w:rPr>
                <w:rFonts w:hint="eastAsia" w:ascii="宋体" w:hAnsi="宋体" w:cs="宋体"/>
                <w:b/>
                <w:bCs/>
                <w:sz w:val="24"/>
                <w:highlight w:val="yellow"/>
                <w:u w:val="single"/>
              </w:rPr>
            </w:r>
            <w:r/>
          </w:p>
          <w:p>
            <w:pPr>
              <w:pStyle w:val="1070"/>
              <w:rPr>
                <w:rFonts w:hint="eastAsia" w:ascii="宋体" w:hAnsi="宋体" w:cs="宋体"/>
                <w:sz w:val="24"/>
              </w:rPr>
            </w:pPr>
            <w:r>
              <w:rPr>
                <w:rFonts w:hint="eastAsia" w:ascii="宋体" w:hAnsi="宋体" w:cs="宋体"/>
                <w:sz w:val="24"/>
              </w:rPr>
              <w:t xml:space="preserve">缴纳时间：成交供应商应在领取成交通知书时将成交服务费付至采购代理机构的账户并备注项目编号，本项不需单独列出，供应商应综合考虑。</w:t>
            </w:r>
            <w:r>
              <w:rPr>
                <w:rFonts w:hint="eastAsia" w:ascii="宋体" w:hAnsi="宋体" w:cs="宋体"/>
                <w:sz w:val="24"/>
              </w:rPr>
            </w:r>
            <w:r/>
          </w:p>
          <w:p>
            <w:pPr>
              <w:pStyle w:val="1070"/>
              <w:rPr>
                <w:rFonts w:hint="eastAsia" w:ascii="宋体" w:hAnsi="宋体" w:cs="宋体"/>
                <w:sz w:val="24"/>
              </w:rPr>
            </w:pPr>
            <w:r>
              <w:rPr>
                <w:rFonts w:hint="eastAsia" w:ascii="宋体" w:hAnsi="宋体" w:cs="宋体"/>
                <w:sz w:val="24"/>
              </w:rPr>
              <w:t xml:space="preserve">收款单位：江苏苏南项目管理有限公司 </w:t>
            </w:r>
            <w:r>
              <w:rPr>
                <w:rFonts w:hint="eastAsia" w:ascii="宋体" w:hAnsi="宋体" w:cs="宋体"/>
                <w:sz w:val="24"/>
              </w:rPr>
            </w:r>
            <w:r/>
          </w:p>
          <w:p>
            <w:pPr>
              <w:pStyle w:val="1070"/>
              <w:rPr>
                <w:rFonts w:hint="eastAsia" w:ascii="宋体" w:hAnsi="宋体" w:cs="宋体"/>
                <w:sz w:val="24"/>
              </w:rPr>
            </w:pPr>
            <w:r>
              <w:rPr>
                <w:rFonts w:hint="eastAsia" w:ascii="宋体" w:hAnsi="宋体" w:cs="宋体"/>
                <w:sz w:val="24"/>
              </w:rPr>
              <w:t xml:space="preserve">银行账号：1105 0661 0900 0540 750</w:t>
            </w:r>
            <w:r>
              <w:rPr>
                <w:rFonts w:hint="eastAsia" w:ascii="宋体" w:hAnsi="宋体" w:cs="宋体"/>
                <w:sz w:val="24"/>
              </w:rPr>
            </w:r>
            <w:r/>
          </w:p>
          <w:p>
            <w:pPr>
              <w:pStyle w:val="1070"/>
              <w:jc w:val="left"/>
              <w:rPr>
                <w:sz w:val="24"/>
              </w:rPr>
            </w:pPr>
            <w:r>
              <w:rPr>
                <w:rFonts w:hint="eastAsia" w:ascii="宋体" w:hAnsi="宋体" w:cs="宋体"/>
                <w:sz w:val="24"/>
              </w:rPr>
              <w:t xml:space="preserve">开户银行：中国工商银行溧阳南环支行</w:t>
            </w:r>
            <w:r>
              <w:rPr>
                <w:sz w:val="24"/>
              </w:rPr>
            </w:r>
            <w:r/>
          </w:p>
        </w:tc>
      </w:tr>
    </w:tbl>
    <w:p>
      <w:pPr>
        <w:pStyle w:val="1070"/>
        <w:jc w:val="both"/>
        <w:spacing w:line="360" w:lineRule="auto"/>
        <w:tabs>
          <w:tab w:val="left" w:pos="5580" w:leader="none"/>
        </w:tabs>
        <w:rPr>
          <w:sz w:val="24"/>
        </w:rPr>
        <w:sectPr>
          <w:footerReference w:type="default" r:id="rId15"/>
          <w:footerReference w:type="first" r:id="rId16"/>
          <w:footnotePr/>
          <w:endnotePr/>
          <w:type w:val="nextPage"/>
          <w:pgSz w:w="11905" w:h="16838" w:orient="portrait"/>
          <w:pgMar w:top="1417" w:right="1134" w:bottom="1417" w:left="1134" w:header="851" w:footer="850" w:gutter="0"/>
          <w:pgNumType w:start="1"/>
          <w:cols w:num="1" w:sep="0" w:space="1701" w:equalWidth="1"/>
          <w:docGrid w:linePitch="360"/>
          <w:titlePg/>
        </w:sectPr>
      </w:pPr>
      <w:r>
        <w:rPr>
          <w:sz w:val="24"/>
        </w:rPr>
      </w:r>
      <w:r/>
    </w:p>
    <w:p>
      <w:pPr>
        <w:pStyle w:val="1070"/>
        <w:jc w:val="center"/>
        <w:spacing w:before="312" w:after="312"/>
        <w:rPr>
          <w:b/>
          <w:sz w:val="28"/>
          <w:szCs w:val="28"/>
        </w:rPr>
      </w:pPr>
      <w:r>
        <w:rPr>
          <w:b/>
          <w:sz w:val="28"/>
          <w:szCs w:val="28"/>
        </w:rPr>
        <w:t xml:space="preserve">供应商须知</w:t>
      </w:r>
      <w:r>
        <w:rPr>
          <w:b/>
          <w:sz w:val="28"/>
          <w:szCs w:val="28"/>
        </w:rPr>
      </w:r>
      <w:r/>
    </w:p>
    <w:p>
      <w:pPr>
        <w:pStyle w:val="1072"/>
        <w:jc w:val="left"/>
        <w:spacing w:before="0" w:line="360" w:lineRule="auto"/>
        <w:tabs>
          <w:tab w:val="center" w:pos="4592" w:leader="none"/>
          <w:tab w:val="left" w:pos="7860" w:leader="none"/>
        </w:tabs>
        <w:rPr>
          <w:rFonts w:ascii="Times New Roman" w:hAnsi="Times New Roman" w:eastAsia="宋体"/>
          <w:sz w:val="28"/>
        </w:rPr>
      </w:pPr>
      <w:r/>
      <w:bookmarkStart w:id="72" w:name="_Toc520356143"/>
      <w:r/>
      <w:bookmarkStart w:id="73" w:name="_Toc127151518"/>
      <w:r>
        <w:rPr>
          <w:rFonts w:ascii="Times New Roman" w:hAnsi="Times New Roman" w:eastAsia="宋体"/>
          <w:sz w:val="28"/>
        </w:rPr>
        <w:tab/>
      </w:r>
      <w:bookmarkStart w:id="74" w:name="_Toc151193906"/>
      <w:r/>
      <w:bookmarkStart w:id="75" w:name="_Toc150774723"/>
      <w:r/>
      <w:bookmarkStart w:id="76" w:name="_Toc151193832"/>
      <w:r/>
      <w:bookmarkStart w:id="77" w:name="_Toc151193688"/>
      <w:r/>
      <w:bookmarkStart w:id="78" w:name="_Toc226965708"/>
      <w:r/>
      <w:bookmarkStart w:id="79" w:name="_Toc150509269"/>
      <w:r/>
      <w:bookmarkStart w:id="80" w:name="_Toc150774618"/>
      <w:r/>
      <w:bookmarkStart w:id="81" w:name="_Toc151193760"/>
      <w:r/>
      <w:bookmarkStart w:id="82" w:name="_Toc226965791"/>
      <w:r/>
      <w:bookmarkStart w:id="83" w:name="_Toc305158786"/>
      <w:r/>
      <w:bookmarkStart w:id="84" w:name="_Toc264969208"/>
      <w:r/>
      <w:bookmarkStart w:id="85" w:name="_Toc305158860"/>
      <w:r/>
      <w:bookmarkStart w:id="86" w:name="_Toc151193616"/>
      <w:r/>
      <w:bookmarkStart w:id="87" w:name="_Toc195842883"/>
      <w:r/>
      <w:bookmarkStart w:id="88" w:name="_Toc150480756"/>
      <w:r/>
      <w:bookmarkStart w:id="89" w:name="_Toc226337214"/>
      <w:r/>
      <w:bookmarkStart w:id="90" w:name="_Toc265228356"/>
      <w:r/>
      <w:bookmarkStart w:id="91" w:name="_Toc151190145"/>
      <w:r/>
      <w:bookmarkStart w:id="92" w:name="_Toc226309762"/>
      <w:r/>
      <w:bookmarkStart w:id="93" w:name="_Toc142311020"/>
      <w:r>
        <w:rPr>
          <w:rFonts w:ascii="Times New Roman" w:hAnsi="Times New Roman" w:eastAsia="宋体"/>
          <w:sz w:val="28"/>
        </w:rPr>
        <w:t xml:space="preserve">一 </w:t>
      </w:r>
      <w:r>
        <w:rPr>
          <w:rFonts w:hint="eastAsia" w:ascii="Times New Roman" w:hAnsi="Times New Roman" w:eastAsia="宋体"/>
          <w:sz w:val="28"/>
        </w:rPr>
        <w:t xml:space="preserve"> </w:t>
      </w:r>
      <w:r>
        <w:rPr>
          <w:rFonts w:ascii="Times New Roman" w:hAnsi="Times New Roman" w:eastAsia="宋体"/>
          <w:sz w:val="28"/>
        </w:rPr>
        <w:t xml:space="preserve">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rPr>
          <w:rFonts w:ascii="Times New Roman" w:hAnsi="Times New Roman" w:eastAsia="宋体"/>
          <w:sz w:val="28"/>
        </w:rPr>
      </w:r>
      <w:r/>
    </w:p>
    <w:p>
      <w:pPr>
        <w:pStyle w:val="1070"/>
        <w:spacing w:line="360" w:lineRule="auto"/>
        <w:tabs>
          <w:tab w:val="left" w:pos="360" w:leader="none"/>
        </w:tabs>
        <w:rPr>
          <w:rFonts w:ascii="宋体" w:hAnsi="宋体"/>
          <w:sz w:val="24"/>
        </w:rPr>
        <w:outlineLvl w:val="1"/>
      </w:pPr>
      <w:r/>
      <w:bookmarkStart w:id="94" w:name="_Toc264969209"/>
      <w:r/>
      <w:bookmarkStart w:id="95" w:name="_Toc305158787"/>
      <w:r/>
      <w:bookmarkStart w:id="96" w:name="_Toc305158861"/>
      <w:r/>
      <w:bookmarkStart w:id="97" w:name="_Toc265228357"/>
      <w:r>
        <w:rPr>
          <w:rFonts w:hint="eastAsia" w:ascii="宋体" w:hAnsi="宋体"/>
          <w:sz w:val="24"/>
          <w:lang w:eastAsia="zh-CN"/>
        </w:rPr>
        <w:t xml:space="preserve">1.</w:t>
      </w:r>
      <w:r>
        <w:rPr>
          <w:rFonts w:ascii="宋体" w:hAnsi="宋体"/>
          <w:sz w:val="24"/>
        </w:rPr>
        <w:t xml:space="preserve">采购人、采购代理机构、供应商</w:t>
      </w:r>
      <w:bookmarkEnd w:id="94"/>
      <w:r/>
      <w:bookmarkEnd w:id="95"/>
      <w:r/>
      <w:bookmarkEnd w:id="96"/>
      <w:r/>
      <w:bookmarkEnd w:id="97"/>
      <w:r>
        <w:rPr>
          <w:rFonts w:ascii="宋体" w:hAnsi="宋体"/>
          <w:sz w:val="24"/>
        </w:rPr>
        <w:t xml:space="preserve">、联合体</w:t>
      </w:r>
      <w:r>
        <w:rPr>
          <w:rFonts w:ascii="宋体" w:hAnsi="宋体"/>
          <w:sz w:val="24"/>
        </w:rPr>
      </w:r>
      <w:r/>
    </w:p>
    <w:p>
      <w:pPr>
        <w:pStyle w:val="1070"/>
        <w:ind w:firstLine="480"/>
        <w:spacing w:line="360" w:lineRule="auto"/>
        <w:tabs>
          <w:tab w:val="left" w:pos="1080" w:leader="none"/>
          <w:tab w:val="left" w:pos="1589" w:leader="none"/>
          <w:tab w:val="left" w:pos="2014" w:leader="none"/>
          <w:tab w:val="left" w:pos="5521" w:leader="none"/>
        </w:tabs>
        <w:rPr>
          <w:rFonts w:ascii="宋体" w:hAnsi="宋体"/>
          <w:sz w:val="24"/>
        </w:rPr>
      </w:pPr>
      <w:r>
        <w:rPr>
          <w:rFonts w:hint="eastAsia" w:ascii="宋体" w:hAnsi="宋体"/>
          <w:sz w:val="24"/>
        </w:rPr>
        <w:t xml:space="preserve">1.1</w:t>
      </w:r>
      <w:r>
        <w:rPr>
          <w:rFonts w:ascii="宋体" w:hAnsi="宋体"/>
          <w:sz w:val="24"/>
        </w:rPr>
        <w:t xml:space="preserve">采购人、采购代理机构：指依法进行政府采购的国家机关、事业单位、团体组织，及其委托的采购代理机构。本项目采购人、采购代理机构见第一章《采购邀请》。</w:t>
      </w:r>
      <w:r>
        <w:rPr>
          <w:rFonts w:ascii="宋体" w:hAnsi="宋体"/>
          <w:sz w:val="24"/>
        </w:rPr>
      </w:r>
      <w:r/>
    </w:p>
    <w:p>
      <w:pPr>
        <w:pStyle w:val="1070"/>
        <w:ind w:firstLine="480"/>
        <w:spacing w:line="360" w:lineRule="auto"/>
        <w:tabs>
          <w:tab w:val="left" w:pos="1080" w:leader="none"/>
          <w:tab w:val="left" w:pos="1589" w:leader="none"/>
          <w:tab w:val="left" w:pos="2014" w:leader="none"/>
          <w:tab w:val="left" w:pos="5521" w:leader="none"/>
        </w:tabs>
        <w:rPr>
          <w:rFonts w:ascii="宋体" w:hAnsi="宋体"/>
          <w:sz w:val="24"/>
        </w:rPr>
      </w:pPr>
      <w:r>
        <w:rPr>
          <w:rFonts w:hint="eastAsia" w:ascii="宋体" w:hAnsi="宋体"/>
          <w:sz w:val="24"/>
        </w:rPr>
        <w:t xml:space="preserve">1.2</w:t>
      </w:r>
      <w:r>
        <w:rPr>
          <w:rFonts w:ascii="宋体" w:hAnsi="宋体"/>
          <w:sz w:val="24"/>
        </w:rPr>
        <w:t xml:space="preserve">供应商（也称“申请人”）：指向采购人提供货物、工程或者服务的法人、其他组织或者自然人。</w:t>
      </w:r>
      <w:r>
        <w:rPr>
          <w:rFonts w:ascii="宋体" w:hAnsi="宋体"/>
          <w:sz w:val="24"/>
        </w:rPr>
      </w:r>
      <w:r/>
    </w:p>
    <w:p>
      <w:pPr>
        <w:pStyle w:val="1070"/>
        <w:ind w:firstLine="480"/>
        <w:spacing w:line="360" w:lineRule="auto"/>
        <w:tabs>
          <w:tab w:val="left" w:pos="1080" w:leader="none"/>
          <w:tab w:val="left" w:pos="1589" w:leader="none"/>
          <w:tab w:val="left" w:pos="2014" w:leader="none"/>
          <w:tab w:val="left" w:pos="5521" w:leader="none"/>
        </w:tabs>
        <w:rPr>
          <w:rFonts w:ascii="宋体" w:hAnsi="宋体"/>
          <w:sz w:val="24"/>
        </w:rPr>
      </w:pPr>
      <w:r>
        <w:rPr>
          <w:rFonts w:hint="eastAsia" w:ascii="宋体" w:hAnsi="宋体"/>
          <w:sz w:val="24"/>
        </w:rPr>
        <w:t xml:space="preserve">1.3</w:t>
      </w:r>
      <w:r>
        <w:rPr>
          <w:rFonts w:ascii="宋体" w:hAnsi="宋体"/>
          <w:sz w:val="24"/>
        </w:rPr>
        <w:t xml:space="preserve">联合体：指两个以上的自然人、法人或者其他组织组成一个联合体，以一个供应商的身份共同参加政府采购。</w:t>
      </w:r>
      <w:r>
        <w:rPr>
          <w:rFonts w:ascii="宋体" w:hAnsi="宋体"/>
          <w:sz w:val="24"/>
        </w:rPr>
      </w:r>
      <w:r/>
    </w:p>
    <w:p>
      <w:pPr>
        <w:pStyle w:val="1070"/>
        <w:spacing w:line="360" w:lineRule="auto"/>
        <w:tabs>
          <w:tab w:val="left" w:pos="360" w:leader="none"/>
        </w:tabs>
        <w:rPr>
          <w:rFonts w:ascii="宋体" w:hAnsi="宋体"/>
          <w:sz w:val="24"/>
        </w:rPr>
        <w:outlineLvl w:val="1"/>
      </w:pPr>
      <w:r/>
      <w:bookmarkStart w:id="98" w:name="_Toc142311022"/>
      <w:r/>
      <w:bookmarkStart w:id="99" w:name="_Toc226965793"/>
      <w:r/>
      <w:bookmarkStart w:id="100" w:name="_Toc265228358"/>
      <w:r/>
      <w:bookmarkStart w:id="101" w:name="_Toc164351614"/>
      <w:r/>
      <w:bookmarkStart w:id="102" w:name="_Toc151193618"/>
      <w:r/>
      <w:bookmarkStart w:id="103" w:name="_Toc150509271"/>
      <w:r/>
      <w:bookmarkStart w:id="104" w:name="_Toc164229215"/>
      <w:r/>
      <w:bookmarkStart w:id="105" w:name="_Toc264969210"/>
      <w:r/>
      <w:bookmarkStart w:id="106" w:name="_Toc226337216"/>
      <w:r/>
      <w:bookmarkStart w:id="107" w:name="_Toc151193834"/>
      <w:r/>
      <w:bookmarkStart w:id="108" w:name="_Toc164608789"/>
      <w:r/>
      <w:bookmarkStart w:id="109" w:name="_Toc127151721"/>
      <w:r/>
      <w:bookmarkStart w:id="110" w:name="_Toc150774725"/>
      <w:r/>
      <w:bookmarkStart w:id="111" w:name="_Toc150774620"/>
      <w:r/>
      <w:bookmarkStart w:id="112" w:name="_Toc149720813"/>
      <w:r/>
      <w:bookmarkStart w:id="113" w:name="_Toc164229361"/>
      <w:r/>
      <w:bookmarkStart w:id="114" w:name="_Toc150480758"/>
      <w:r/>
      <w:bookmarkStart w:id="115" w:name="_Toc305158862"/>
      <w:r/>
      <w:bookmarkStart w:id="116" w:name="_Toc151193690"/>
      <w:r/>
      <w:bookmarkStart w:id="117" w:name="_Toc226309764"/>
      <w:r/>
      <w:bookmarkStart w:id="118" w:name="_Toc151193908"/>
      <w:r/>
      <w:bookmarkStart w:id="119" w:name="_Toc127151520"/>
      <w:r/>
      <w:bookmarkStart w:id="120" w:name="_Toc305158788"/>
      <w:r/>
      <w:bookmarkStart w:id="121" w:name="_Toc195842885"/>
      <w:r/>
      <w:bookmarkStart w:id="122" w:name="_Toc151193762"/>
      <w:r/>
      <w:bookmarkStart w:id="123" w:name="_Toc151190147"/>
      <w:r/>
      <w:bookmarkStart w:id="124" w:name="_Toc164608634"/>
      <w:r/>
      <w:bookmarkStart w:id="125" w:name="_Toc226965710"/>
      <w:r/>
      <w:bookmarkStart w:id="126" w:name="_Toc127161434"/>
      <w:r>
        <w:rPr>
          <w:rFonts w:hint="eastAsia" w:ascii="宋体" w:hAnsi="宋体"/>
          <w:sz w:val="24"/>
          <w:lang w:eastAsia="zh-CN"/>
        </w:rPr>
        <w:t xml:space="preserve">2.</w:t>
      </w:r>
      <w:r>
        <w:rPr>
          <w:rFonts w:ascii="宋体" w:hAnsi="宋体"/>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ascii="宋体" w:hAnsi="宋体"/>
          <w:sz w:val="24"/>
        </w:rPr>
        <w:t xml:space="preserve">、项目属性、科研仪器设备采购</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2.1</w:t>
      </w:r>
      <w:r>
        <w:rPr>
          <w:rFonts w:ascii="宋体" w:hAnsi="宋体"/>
          <w:sz w:val="24"/>
        </w:rPr>
        <w:t xml:space="preserve">资金来源为财政性资金。</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2.2</w:t>
      </w:r>
      <w:r>
        <w:rPr>
          <w:rFonts w:ascii="宋体" w:hAnsi="宋体"/>
          <w:sz w:val="24"/>
        </w:rPr>
        <w:t xml:space="preserve">项目属性见《供应商须知资料表》。</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2.3</w:t>
      </w:r>
      <w:r>
        <w:rPr>
          <w:rFonts w:ascii="宋体" w:hAnsi="宋体"/>
          <w:sz w:val="24"/>
        </w:rPr>
        <w:t xml:space="preserve">是否属于科研仪器设备采购见《供应商须知资料表》。</w:t>
      </w:r>
      <w:r>
        <w:rPr>
          <w:rFonts w:ascii="宋体" w:hAnsi="宋体"/>
          <w:sz w:val="24"/>
        </w:rPr>
      </w:r>
      <w:r/>
    </w:p>
    <w:p>
      <w:pPr>
        <w:pStyle w:val="1070"/>
        <w:spacing w:line="360" w:lineRule="auto"/>
        <w:tabs>
          <w:tab w:val="left" w:pos="360" w:leader="none"/>
        </w:tabs>
        <w:rPr>
          <w:rFonts w:ascii="宋体" w:hAnsi="宋体"/>
          <w:sz w:val="24"/>
        </w:rPr>
        <w:outlineLvl w:val="1"/>
      </w:pPr>
      <w:r>
        <w:rPr>
          <w:rFonts w:hint="eastAsia" w:ascii="宋体" w:hAnsi="宋体"/>
          <w:sz w:val="24"/>
          <w:lang w:eastAsia="zh-CN"/>
        </w:rPr>
        <w:t xml:space="preserve">3.</w:t>
      </w:r>
      <w:r>
        <w:rPr>
          <w:rFonts w:ascii="宋体" w:hAnsi="宋体"/>
          <w:sz w:val="24"/>
        </w:rPr>
        <w:t xml:space="preserve">现场考察、磋商前答疑会</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8"/>
        </w:rPr>
      </w:pPr>
      <w:r>
        <w:rPr>
          <w:rFonts w:hint="eastAsia" w:ascii="宋体" w:hAnsi="宋体"/>
          <w:sz w:val="24"/>
        </w:rPr>
        <w:t xml:space="preserve">3.1</w:t>
      </w:r>
      <w:r>
        <w:rPr>
          <w:rFonts w:ascii="宋体" w:hAnsi="宋体"/>
          <w:sz w:val="24"/>
        </w:rPr>
        <w:t xml:space="preserve">若《供应商须知资料表》中规定了组织现场考察、召开磋商前答疑会，则供应商应按要求在规定的时间和地点参加。</w:t>
      </w:r>
      <w:bookmarkStart w:id="127" w:name="_Toc150774727"/>
      <w:r/>
      <w:bookmarkStart w:id="128" w:name="_Toc226965712"/>
      <w:r/>
      <w:bookmarkStart w:id="129" w:name="_Toc150480760"/>
      <w:r/>
      <w:bookmarkStart w:id="130" w:name="_Toc150509273"/>
      <w:r/>
      <w:bookmarkStart w:id="131" w:name="_Toc151193620"/>
      <w:r/>
      <w:bookmarkStart w:id="132" w:name="_Toc151193692"/>
      <w:r/>
      <w:bookmarkStart w:id="133" w:name="_Toc226965795"/>
      <w:r/>
      <w:bookmarkStart w:id="134" w:name="_Toc142311024"/>
      <w:r/>
      <w:bookmarkStart w:id="135" w:name="_Toc127151522"/>
      <w:r/>
      <w:bookmarkStart w:id="136" w:name="_Toc305158864"/>
      <w:r/>
      <w:bookmarkStart w:id="137" w:name="_Toc265228360"/>
      <w:r/>
      <w:bookmarkStart w:id="138" w:name="_Toc520356146"/>
      <w:r/>
      <w:bookmarkStart w:id="139" w:name="_Toc305158790"/>
      <w:r/>
      <w:bookmarkStart w:id="140" w:name="_Toc195842887"/>
      <w:r/>
      <w:bookmarkStart w:id="141" w:name="_Toc151193910"/>
      <w:r/>
      <w:bookmarkStart w:id="142" w:name="_Toc151190149"/>
      <w:r/>
      <w:bookmarkStart w:id="143" w:name="_Toc226309766"/>
      <w:r/>
      <w:bookmarkStart w:id="144" w:name="_Toc151193836"/>
      <w:r/>
      <w:bookmarkStart w:id="145" w:name="_Toc264969212"/>
      <w:r/>
      <w:bookmarkStart w:id="146" w:name="_Toc151193764"/>
      <w:r/>
      <w:bookmarkStart w:id="147" w:name="_Toc150774622"/>
      <w:r/>
      <w:bookmarkStart w:id="148" w:name="_Toc226337218"/>
      <w:r>
        <w:rPr>
          <w:rFonts w:ascii="宋体" w:hAnsi="宋体"/>
          <w:sz w:val="28"/>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3.2</w:t>
      </w:r>
      <w:r>
        <w:rPr>
          <w:rFonts w:ascii="宋体" w:hAnsi="宋体"/>
          <w:sz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sz w:val="24"/>
        </w:rPr>
      </w:r>
      <w:r/>
    </w:p>
    <w:p>
      <w:pPr>
        <w:pStyle w:val="1070"/>
        <w:spacing w:line="360" w:lineRule="auto"/>
        <w:tabs>
          <w:tab w:val="left" w:pos="360" w:leader="none"/>
        </w:tabs>
        <w:rPr>
          <w:rFonts w:ascii="宋体" w:hAnsi="宋体"/>
          <w:sz w:val="24"/>
        </w:rPr>
        <w:outlineLvl w:val="1"/>
      </w:pPr>
      <w:r>
        <w:rPr>
          <w:rFonts w:hint="eastAsia" w:ascii="宋体" w:hAnsi="宋体"/>
          <w:sz w:val="24"/>
          <w:lang w:eastAsia="zh-CN"/>
        </w:rPr>
        <w:t xml:space="preserve">4.</w:t>
      </w:r>
      <w:r>
        <w:rPr>
          <w:rFonts w:ascii="宋体" w:hAnsi="宋体"/>
          <w:sz w:val="24"/>
        </w:rPr>
        <w:t xml:space="preserve">政府采购政策（包括但不限于下列具体政策要求）</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4.1</w:t>
      </w:r>
      <w:r>
        <w:rPr>
          <w:rFonts w:ascii="宋体" w:hAnsi="宋体"/>
          <w:sz w:val="24"/>
        </w:rPr>
        <w:t xml:space="preserve">进口产品</w:t>
      </w:r>
      <w:r>
        <w:rPr>
          <w:rFonts w:ascii="宋体" w:hAnsi="宋体"/>
          <w:sz w:val="24"/>
        </w:rPr>
      </w:r>
      <w:r/>
    </w:p>
    <w:p>
      <w:pPr>
        <w:pStyle w:val="1070"/>
        <w:ind w:firstLine="480"/>
        <w:spacing w:line="360" w:lineRule="auto"/>
        <w:tabs>
          <w:tab w:val="left" w:pos="2014" w:leader="none"/>
        </w:tabs>
        <w:rPr>
          <w:rFonts w:ascii="宋体" w:hAnsi="宋体"/>
          <w:sz w:val="24"/>
        </w:rPr>
      </w:pPr>
      <w:r>
        <w:rPr>
          <w:rFonts w:hint="eastAsia" w:ascii="宋体" w:hAnsi="宋体"/>
          <w:sz w:val="24"/>
        </w:rPr>
        <w:t xml:space="preserve">4.1.1</w:t>
      </w:r>
      <w:r>
        <w:rPr>
          <w:rFonts w:ascii="宋体" w:hAnsi="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4.2</w:t>
      </w:r>
      <w:r>
        <w:rPr>
          <w:rFonts w:ascii="宋体" w:hAnsi="宋体"/>
          <w:sz w:val="24"/>
        </w:rPr>
        <w:t xml:space="preserve">中小企业、监狱企业及残疾人福利性单位</w:t>
      </w:r>
      <w:r>
        <w:rPr>
          <w:rFonts w:ascii="宋体" w:hAnsi="宋体"/>
          <w:sz w:val="24"/>
        </w:rPr>
      </w:r>
      <w:r/>
    </w:p>
    <w:p>
      <w:pPr>
        <w:pStyle w:val="1070"/>
        <w:ind w:firstLine="480"/>
        <w:spacing w:line="360" w:lineRule="auto"/>
        <w:rPr>
          <w:rFonts w:ascii="宋体" w:hAnsi="宋体"/>
          <w:sz w:val="24"/>
        </w:rPr>
      </w:pPr>
      <w:r>
        <w:rPr>
          <w:rFonts w:hint="eastAsia" w:ascii="宋体" w:hAnsi="宋体"/>
          <w:sz w:val="24"/>
          <w:lang w:val="en-US" w:eastAsia="zh-CN"/>
        </w:rPr>
        <w:t xml:space="preserve">4</w:t>
      </w:r>
      <w:r>
        <w:rPr>
          <w:rFonts w:hint="eastAsia" w:ascii="宋体" w:hAnsi="宋体"/>
          <w:sz w:val="24"/>
        </w:rPr>
        <w:t xml:space="preserve">.2.1</w:t>
      </w:r>
      <w:r>
        <w:rPr>
          <w:rFonts w:ascii="宋体" w:hAnsi="宋体"/>
          <w:sz w:val="24"/>
        </w:rPr>
        <w:t xml:space="preserve">中小企业定义：</w:t>
      </w:r>
      <w:r>
        <w:rPr>
          <w:rFonts w:ascii="宋体" w:hAnsi="宋体"/>
          <w:sz w:val="24"/>
        </w:rPr>
      </w:r>
      <w:r/>
    </w:p>
    <w:p>
      <w:pPr>
        <w:pStyle w:val="1070"/>
        <w:ind w:firstLine="480"/>
        <w:spacing w:line="360" w:lineRule="auto"/>
        <w:tabs>
          <w:tab w:val="left" w:pos="1980" w:leader="none"/>
          <w:tab w:val="left" w:pos="2035" w:leader="none"/>
          <w:tab w:val="left" w:pos="2977" w:leader="none"/>
        </w:tabs>
        <w:rPr>
          <w:rFonts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rPr>
      </w:r>
      <w:r/>
    </w:p>
    <w:p>
      <w:pPr>
        <w:pStyle w:val="1070"/>
        <w:ind w:firstLine="480"/>
        <w:spacing w:line="360" w:lineRule="auto"/>
        <w:tabs>
          <w:tab w:val="left" w:pos="1980" w:leader="none"/>
          <w:tab w:val="left" w:pos="2035" w:leader="none"/>
          <w:tab w:val="left" w:pos="2977" w:leader="none"/>
        </w:tabs>
        <w:rPr>
          <w:rFonts w:ascii="宋体" w:hAnsi="宋体"/>
          <w:sz w:val="24"/>
        </w:rPr>
      </w:pPr>
      <w:r>
        <w:rPr>
          <w:rFonts w:ascii="宋体" w:hAnsi="宋体"/>
          <w:sz w:val="24"/>
        </w:rPr>
        <w:t xml:space="preserve">供应商提供的货物、工程或者服务符合下列情形的，享受中小企业扶持政策：</w:t>
      </w:r>
      <w:r>
        <w:rPr>
          <w:rFonts w:ascii="宋体" w:hAnsi="宋体"/>
          <w:sz w:val="24"/>
        </w:rPr>
      </w:r>
      <w:r/>
    </w:p>
    <w:p>
      <w:pPr>
        <w:pStyle w:val="1070"/>
        <w:spacing w:line="360" w:lineRule="auto"/>
        <w:tabs>
          <w:tab w:val="left" w:pos="1980" w:leader="none"/>
          <w:tab w:val="left" w:pos="2035" w:leader="none"/>
          <w:tab w:val="left" w:pos="2977" w:leader="none"/>
        </w:tabs>
        <w:rPr>
          <w:rFonts w:ascii="宋体" w:hAnsi="宋体"/>
          <w:sz w:val="24"/>
        </w:rPr>
      </w:pPr>
      <w:r>
        <w:rPr>
          <w:rFonts w:ascii="宋体" w:hAnsi="宋体"/>
          <w:sz w:val="24"/>
        </w:rPr>
        <w:t xml:space="preserve">（1）在货物采购项目中，货物由中小企业制造，即货物由中小企业生产且使用该中小企业商号或者注册商标；</w:t>
      </w:r>
      <w:r>
        <w:rPr>
          <w:rFonts w:ascii="宋体" w:hAnsi="宋体"/>
          <w:sz w:val="24"/>
        </w:rPr>
      </w:r>
      <w:r/>
    </w:p>
    <w:p>
      <w:pPr>
        <w:pStyle w:val="1070"/>
        <w:spacing w:line="360" w:lineRule="auto"/>
        <w:tabs>
          <w:tab w:val="left" w:pos="1980" w:leader="none"/>
        </w:tabs>
        <w:rPr>
          <w:rFonts w:ascii="宋体" w:hAnsi="宋体"/>
          <w:sz w:val="24"/>
        </w:rPr>
      </w:pPr>
      <w:r>
        <w:rPr>
          <w:rFonts w:ascii="宋体" w:hAnsi="宋体"/>
          <w:sz w:val="24"/>
        </w:rPr>
        <w:t xml:space="preserve">（2）在工程采购项目中，工程由中小企业承建，即工程施工单位为中小企业；</w:t>
      </w:r>
      <w:r>
        <w:rPr>
          <w:rFonts w:ascii="宋体" w:hAnsi="宋体"/>
          <w:sz w:val="24"/>
        </w:rPr>
      </w:r>
      <w:r/>
    </w:p>
    <w:p>
      <w:pPr>
        <w:pStyle w:val="1070"/>
        <w:spacing w:line="360" w:lineRule="auto"/>
        <w:tabs>
          <w:tab w:val="left" w:pos="1980" w:leader="none"/>
        </w:tabs>
        <w:rPr>
          <w:rFonts w:ascii="宋体" w:hAnsi="宋体"/>
          <w:sz w:val="24"/>
        </w:rPr>
      </w:pPr>
      <w:r>
        <w:rPr>
          <w:rFonts w:ascii="宋体" w:hAnsi="宋体"/>
          <w:sz w:val="24"/>
        </w:rPr>
        <w:t xml:space="preserve">（3）在服务采购项目中，服务由中小企业承接，即提供服务的人员为中小企业依照《中华人民共和国劳动合同法》订立劳动合同的从业人员。</w:t>
      </w:r>
      <w:r>
        <w:rPr>
          <w:rFonts w:ascii="宋体" w:hAnsi="宋体"/>
          <w:sz w:val="24"/>
        </w:rPr>
      </w:r>
      <w:r/>
    </w:p>
    <w:p>
      <w:pPr>
        <w:pStyle w:val="107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在货物采购项目中，供应商提供的货物既有中小企业制造货物，也有大型企业制造货物的，不享受中小企业扶持政策。</w:t>
      </w:r>
      <w:r>
        <w:rPr>
          <w:rFonts w:ascii="宋体" w:hAnsi="宋体"/>
          <w:sz w:val="24"/>
        </w:rPr>
      </w:r>
      <w:r/>
    </w:p>
    <w:p>
      <w:pPr>
        <w:pStyle w:val="107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以联合体形式参加政府采购活动，联合体各方均为中小企业的，联合体视同中小企业。其中，联合体各方均为小微企业的，联合体视同小微企业。</w:t>
      </w:r>
      <w:r>
        <w:rPr>
          <w:rFonts w:ascii="宋体" w:hAnsi="宋体"/>
          <w:sz w:val="24"/>
        </w:rPr>
      </w:r>
      <w:r/>
    </w:p>
    <w:p>
      <w:pPr>
        <w:pStyle w:val="1070"/>
        <w:ind w:firstLine="480"/>
        <w:spacing w:line="360" w:lineRule="auto"/>
        <w:tabs>
          <w:tab w:val="left" w:pos="1980" w:leader="none"/>
        </w:tabs>
        <w:rPr>
          <w:rFonts w:ascii="宋体" w:hAnsi="宋体"/>
          <w:sz w:val="24"/>
        </w:rPr>
      </w:pPr>
      <w:r>
        <w:rPr>
          <w:rFonts w:hint="eastAsia" w:ascii="宋体" w:hAnsi="宋体"/>
          <w:sz w:val="24"/>
        </w:rPr>
        <w:t xml:space="preserve">4</w:t>
      </w:r>
      <w:r>
        <w:rPr>
          <w:rFonts w:ascii="宋体" w:hAnsi="宋体"/>
          <w:sz w:val="24"/>
        </w:rPr>
        <w:t xml:space="preserve">.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rPr>
      </w:r>
      <w:r/>
    </w:p>
    <w:p>
      <w:pPr>
        <w:pStyle w:val="1070"/>
        <w:ind w:firstLine="480"/>
        <w:spacing w:line="360" w:lineRule="auto"/>
        <w:tabs>
          <w:tab w:val="left" w:pos="1980" w:leader="none"/>
        </w:tabs>
        <w:rPr>
          <w:rFonts w:ascii="宋体" w:hAnsi="宋体"/>
          <w:sz w:val="24"/>
        </w:rPr>
      </w:pPr>
      <w:r>
        <w:rPr>
          <w:rFonts w:ascii="宋体" w:hAnsi="宋体"/>
          <w:sz w:val="24"/>
        </w:rPr>
        <w:t xml:space="preserve">4.2.3残疾人福利单位定义：享受政府采购支持政策的残疾人福利性单位应当同时满足以下条件：</w:t>
      </w:r>
      <w:r>
        <w:rPr>
          <w:rFonts w:ascii="宋体" w:hAnsi="宋体"/>
          <w:sz w:val="24"/>
        </w:rPr>
      </w:r>
      <w:r/>
    </w:p>
    <w:p>
      <w:pPr>
        <w:pStyle w:val="107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安置的残疾人占本单位在职职工人数的比例不低于25%（含25%），并且安置的残疾人人数不少于10 人（含10 人）；</w:t>
      </w:r>
      <w:r>
        <w:rPr>
          <w:rFonts w:ascii="宋体" w:hAnsi="宋体"/>
          <w:sz w:val="24"/>
        </w:rPr>
      </w:r>
      <w:r/>
    </w:p>
    <w:p>
      <w:pPr>
        <w:pStyle w:val="107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依法与安置的每位残疾人签订了一年以上（含一年）的劳动合同或服务协议；</w:t>
      </w:r>
      <w:r>
        <w:rPr>
          <w:rFonts w:ascii="宋体" w:hAnsi="宋体"/>
          <w:sz w:val="24"/>
        </w:rPr>
      </w:r>
      <w:r/>
    </w:p>
    <w:p>
      <w:pPr>
        <w:pStyle w:val="107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为安置的每位残疾人按月足额缴纳了基本养老保险、基本医疗保险、失业保险、工伤保险和生育保险等社会保险费；</w:t>
      </w:r>
      <w:r>
        <w:rPr>
          <w:rFonts w:ascii="宋体" w:hAnsi="宋体"/>
          <w:sz w:val="24"/>
        </w:rPr>
      </w:r>
      <w:r/>
    </w:p>
    <w:p>
      <w:pPr>
        <w:pStyle w:val="107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通过银行等金融机构向安置的每位残疾人，按月支付了不低于单位所在区县适用的经省级人民政府批准的月最低工资标准的工资；</w:t>
      </w:r>
      <w:r>
        <w:rPr>
          <w:rFonts w:ascii="宋体" w:hAnsi="宋体"/>
          <w:sz w:val="24"/>
        </w:rPr>
      </w:r>
      <w:r/>
    </w:p>
    <w:p>
      <w:pPr>
        <w:pStyle w:val="107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rPr>
      </w:r>
      <w:r/>
    </w:p>
    <w:p>
      <w:pPr>
        <w:pStyle w:val="107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rPr>
      </w:r>
      <w:r/>
    </w:p>
    <w:p>
      <w:pPr>
        <w:pStyle w:val="1070"/>
        <w:ind w:firstLine="480"/>
        <w:spacing w:line="360" w:lineRule="auto"/>
        <w:tabs>
          <w:tab w:val="left" w:pos="1980" w:leader="none"/>
        </w:tabs>
        <w:rPr>
          <w:rFonts w:ascii="宋体" w:hAnsi="宋体"/>
          <w:sz w:val="24"/>
        </w:rPr>
      </w:pPr>
      <w:r>
        <w:rPr>
          <w:rFonts w:hint="eastAsia" w:ascii="宋体" w:hAnsi="宋体"/>
          <w:sz w:val="24"/>
        </w:rPr>
        <w:t xml:space="preserve">4</w:t>
      </w:r>
      <w:r>
        <w:rPr>
          <w:rFonts w:ascii="宋体" w:hAnsi="宋体"/>
          <w:sz w:val="24"/>
        </w:rPr>
        <w:t xml:space="preserve">.2.4本项目是否专门面向中小企业预留采购份额见第一章《采购邀请》。</w:t>
      </w:r>
      <w:r>
        <w:rPr>
          <w:rFonts w:ascii="宋体" w:hAnsi="宋体"/>
          <w:sz w:val="24"/>
        </w:rPr>
      </w:r>
      <w:r/>
    </w:p>
    <w:p>
      <w:pPr>
        <w:pStyle w:val="1070"/>
        <w:ind w:firstLine="480"/>
        <w:spacing w:line="360" w:lineRule="auto"/>
        <w:tabs>
          <w:tab w:val="left" w:pos="1980" w:leader="none"/>
        </w:tabs>
        <w:rPr>
          <w:rFonts w:ascii="宋体" w:hAnsi="宋体"/>
          <w:sz w:val="24"/>
        </w:rPr>
      </w:pPr>
      <w:r>
        <w:rPr>
          <w:rFonts w:ascii="宋体" w:hAnsi="宋体"/>
          <w:sz w:val="24"/>
        </w:rPr>
        <w:t xml:space="preserve">4.2.5采购标的对应的中小企业划分标准所属行业见《供应商须知资料表》。</w:t>
      </w:r>
      <w:r>
        <w:rPr>
          <w:rFonts w:ascii="宋体" w:hAnsi="宋体"/>
          <w:sz w:val="24"/>
        </w:rPr>
      </w:r>
      <w:r/>
    </w:p>
    <w:p>
      <w:pPr>
        <w:pStyle w:val="1070"/>
        <w:ind w:firstLine="480"/>
        <w:spacing w:line="360" w:lineRule="auto"/>
        <w:tabs>
          <w:tab w:val="left" w:pos="1980" w:leader="none"/>
        </w:tabs>
        <w:rPr>
          <w:rFonts w:ascii="宋体" w:hAnsi="宋体"/>
          <w:sz w:val="24"/>
        </w:rPr>
      </w:pPr>
      <w:r>
        <w:rPr>
          <w:rFonts w:ascii="宋体" w:hAnsi="宋体"/>
          <w:sz w:val="24"/>
        </w:rPr>
        <w:t xml:space="preserve">4.2.6小微企业价格评审优惠的政策调整：见第三章《评审方法和评审标准》。</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4.3</w:t>
      </w:r>
      <w:r>
        <w:rPr>
          <w:rFonts w:ascii="宋体" w:hAnsi="宋体"/>
          <w:sz w:val="24"/>
        </w:rPr>
        <w:t xml:space="preserve">政府采购节能产品、环境标志产品</w:t>
      </w:r>
      <w:r>
        <w:rPr>
          <w:rFonts w:ascii="宋体" w:hAnsi="宋体"/>
          <w:sz w:val="24"/>
        </w:rPr>
      </w:r>
      <w:r/>
    </w:p>
    <w:p>
      <w:pPr>
        <w:pStyle w:val="1070"/>
        <w:ind w:firstLine="480"/>
        <w:spacing w:line="360" w:lineRule="auto"/>
        <w:tabs>
          <w:tab w:val="left" w:pos="1980" w:leader="none"/>
        </w:tabs>
        <w:rPr>
          <w:rFonts w:ascii="宋体" w:hAnsi="宋体"/>
          <w:sz w:val="24"/>
        </w:rPr>
      </w:pPr>
      <w:r>
        <w:rPr>
          <w:rFonts w:hint="eastAsia" w:ascii="宋体" w:hAnsi="宋体"/>
          <w:sz w:val="24"/>
        </w:rPr>
        <w:t xml:space="preserve">4</w:t>
      </w:r>
      <w:r>
        <w:rPr>
          <w:rFonts w:ascii="宋体" w:hAnsi="宋体"/>
          <w:sz w:val="24"/>
        </w:rPr>
        <w:t xml:space="preserve">.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rPr>
      </w:r>
      <w:r/>
    </w:p>
    <w:p>
      <w:pPr>
        <w:pStyle w:val="1070"/>
        <w:ind w:firstLine="480"/>
        <w:spacing w:line="360" w:lineRule="auto"/>
        <w:tabs>
          <w:tab w:val="left" w:pos="1980" w:leader="none"/>
        </w:tabs>
        <w:rPr>
          <w:rFonts w:ascii="宋体" w:hAnsi="宋体"/>
          <w:sz w:val="24"/>
        </w:rPr>
      </w:pPr>
      <w:r>
        <w:rPr>
          <w:rFonts w:hint="eastAsia" w:ascii="宋体" w:hAnsi="宋体"/>
          <w:sz w:val="24"/>
        </w:rPr>
        <w:t xml:space="preserve">4</w:t>
      </w:r>
      <w:r>
        <w:rPr>
          <w:rFonts w:ascii="宋体" w:hAnsi="宋体"/>
          <w:sz w:val="24"/>
        </w:rPr>
        <w:t xml:space="preserve">.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rPr>
      </w:r>
      <w:r/>
    </w:p>
    <w:p>
      <w:pPr>
        <w:pStyle w:val="1070"/>
        <w:ind w:firstLine="480"/>
        <w:spacing w:line="360" w:lineRule="auto"/>
        <w:tabs>
          <w:tab w:val="left" w:pos="1980" w:leader="none"/>
        </w:tabs>
        <w:rPr>
          <w:rFonts w:ascii="宋体" w:hAnsi="宋体"/>
          <w:sz w:val="24"/>
        </w:rPr>
      </w:pPr>
      <w:r>
        <w:rPr>
          <w:rFonts w:hint="eastAsia" w:ascii="宋体" w:hAnsi="宋体"/>
          <w:sz w:val="24"/>
        </w:rPr>
        <w:t xml:space="preserve">4</w:t>
      </w:r>
      <w:r>
        <w:rPr>
          <w:rFonts w:ascii="宋体" w:hAnsi="宋体"/>
          <w:sz w:val="24"/>
        </w:rPr>
        <w:t xml:space="preserve">.3.3如本项目采购产品属于实施政府强制采购品目清单范围的节能产品，则供应商所报产品必须获得国家确定的认证机构出具的、处于有效期之内的节能产品认证证书，</w:t>
      </w:r>
      <w:r>
        <w:rPr>
          <w:rFonts w:ascii="宋体" w:hAnsi="宋体"/>
          <w:sz w:val="24"/>
        </w:rPr>
        <w:t xml:space="preserve">否则</w:t>
      </w:r>
      <w:r>
        <w:rPr>
          <w:rFonts w:ascii="宋体" w:hAnsi="宋体"/>
          <w:b/>
          <w:sz w:val="24"/>
        </w:rPr>
        <w:t xml:space="preserve">响应无效</w:t>
      </w:r>
      <w:r>
        <w:rPr>
          <w:rFonts w:ascii="宋体" w:hAnsi="宋体"/>
          <w:sz w:val="24"/>
        </w:rPr>
        <w:t xml:space="preserve">；</w:t>
      </w:r>
      <w:r>
        <w:rPr>
          <w:rFonts w:ascii="宋体" w:hAnsi="宋体"/>
          <w:sz w:val="24"/>
        </w:rPr>
      </w:r>
      <w:r/>
    </w:p>
    <w:p>
      <w:pPr>
        <w:pStyle w:val="1070"/>
        <w:ind w:firstLine="480"/>
        <w:spacing w:line="360" w:lineRule="auto"/>
        <w:tabs>
          <w:tab w:val="left" w:pos="1980" w:leader="none"/>
        </w:tabs>
        <w:rPr>
          <w:rFonts w:ascii="宋体" w:hAnsi="宋体"/>
          <w:sz w:val="24"/>
        </w:rPr>
      </w:pPr>
      <w:r>
        <w:rPr>
          <w:rFonts w:ascii="宋体" w:hAnsi="宋体"/>
          <w:sz w:val="24"/>
        </w:rPr>
        <w:t xml:space="preserve">4.3.4非政府强制采购的节能产品或环境标志产品，依据品目清单和认证证书实施政府优先采购。优先采购的具体规定见第三章《评审方法和评审标准》（如涉及）。</w:t>
      </w:r>
      <w:r>
        <w:rPr>
          <w:rFonts w:ascii="宋体" w:hAnsi="宋体"/>
          <w:sz w:val="24"/>
        </w:rPr>
      </w:r>
      <w:r/>
    </w:p>
    <w:p>
      <w:pPr>
        <w:pStyle w:val="1070"/>
        <w:ind w:firstLine="480"/>
        <w:spacing w:line="360" w:lineRule="auto"/>
        <w:tabs>
          <w:tab w:val="left" w:pos="1980" w:leader="none"/>
          <w:tab w:val="left" w:pos="2014" w:leader="none"/>
        </w:tabs>
        <w:rPr>
          <w:rFonts w:ascii="宋体" w:hAnsi="宋体"/>
          <w:sz w:val="24"/>
        </w:rPr>
      </w:pPr>
      <w:r>
        <w:rPr>
          <w:rFonts w:hint="eastAsia" w:ascii="宋体" w:hAnsi="宋体"/>
          <w:sz w:val="24"/>
        </w:rPr>
        <w:t xml:space="preserve">4</w:t>
      </w:r>
      <w:r>
        <w:rPr>
          <w:rFonts w:ascii="宋体" w:hAnsi="宋体"/>
          <w:sz w:val="24"/>
        </w:rPr>
        <w:t xml:space="preserve">.3.5</w:t>
      </w: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4.4</w:t>
      </w:r>
      <w:r>
        <w:rPr>
          <w:rFonts w:ascii="宋体" w:hAnsi="宋体"/>
          <w:sz w:val="24"/>
        </w:rPr>
        <w:t xml:space="preserve">支持乡村产业振兴管理</w:t>
      </w:r>
      <w:r>
        <w:rPr>
          <w:rFonts w:ascii="宋体" w:hAnsi="宋体"/>
          <w:sz w:val="24"/>
        </w:rPr>
      </w:r>
      <w:r/>
    </w:p>
    <w:p>
      <w:pPr>
        <w:pStyle w:val="1070"/>
        <w:ind w:firstLine="480"/>
        <w:spacing w:line="360" w:lineRule="auto"/>
        <w:tabs>
          <w:tab w:val="left" w:pos="1980" w:leader="none"/>
          <w:tab w:val="left" w:pos="2014" w:leader="none"/>
        </w:tabs>
        <w:rPr>
          <w:rFonts w:ascii="宋体" w:hAnsi="宋体"/>
          <w:sz w:val="24"/>
        </w:rPr>
      </w:pPr>
      <w:r>
        <w:rPr>
          <w:rFonts w:hint="eastAsia" w:ascii="宋体" w:hAnsi="宋体"/>
          <w:sz w:val="24"/>
        </w:rPr>
        <w:t xml:space="preserve">4</w:t>
      </w:r>
      <w:r>
        <w:rPr>
          <w:rFonts w:ascii="宋体" w:hAnsi="宋体"/>
          <w:sz w:val="24"/>
        </w:rPr>
        <w:t xml:space="preserve">.4.1为落实《关于运用政府采购政策支持乡村产业振兴的通知》（财库〔2021〕19号）有关要求，做好支持脱贫攻坚工作，本项目采购活动中对于支持乡村振兴管理的相关要求见第四章《采购需求》（如涉及）。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4.5</w:t>
      </w:r>
      <w:r>
        <w:rPr>
          <w:rFonts w:ascii="宋体" w:hAnsi="宋体"/>
          <w:sz w:val="24"/>
        </w:rPr>
        <w:t xml:space="preserve">正版软件</w:t>
      </w:r>
      <w:r>
        <w:rPr>
          <w:rFonts w:ascii="宋体" w:hAnsi="宋体"/>
          <w:sz w:val="24"/>
        </w:rPr>
      </w:r>
      <w:r/>
    </w:p>
    <w:p>
      <w:pPr>
        <w:pStyle w:val="1070"/>
        <w:ind w:firstLine="480"/>
        <w:spacing w:line="360" w:lineRule="auto"/>
        <w:tabs>
          <w:tab w:val="left" w:pos="1980" w:leader="none"/>
        </w:tabs>
        <w:rPr>
          <w:rFonts w:ascii="宋体" w:hAnsi="宋体"/>
          <w:sz w:val="24"/>
        </w:rPr>
      </w:pPr>
      <w:r>
        <w:rPr>
          <w:rFonts w:hint="eastAsia" w:ascii="宋体" w:hAnsi="宋体"/>
          <w:sz w:val="24"/>
        </w:rPr>
        <w:t xml:space="preserve">4</w:t>
      </w:r>
      <w:r>
        <w:rPr>
          <w:rFonts w:ascii="宋体" w:hAnsi="宋体"/>
          <w:sz w:val="24"/>
        </w:rPr>
        <w:t xml:space="preserve">.5.1依据《财政部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sz w:val="24"/>
        </w:rPr>
        <w:t xml:space="preserve">否则</w:t>
      </w:r>
      <w:r>
        <w:rPr>
          <w:rFonts w:ascii="宋体" w:hAnsi="宋体"/>
          <w:b/>
          <w:sz w:val="24"/>
        </w:rPr>
        <w:t xml:space="preserve">响应无效</w:t>
      </w:r>
      <w:r>
        <w:rPr>
          <w:rFonts w:ascii="宋体" w:hAnsi="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rPr>
      </w:r>
      <w:r/>
    </w:p>
    <w:p>
      <w:pPr>
        <w:pStyle w:val="1070"/>
        <w:ind w:firstLine="480"/>
        <w:spacing w:line="360" w:lineRule="auto"/>
        <w:tabs>
          <w:tab w:val="left" w:pos="1980" w:leader="none"/>
        </w:tabs>
        <w:rPr>
          <w:rFonts w:ascii="宋体" w:hAnsi="宋体"/>
          <w:sz w:val="24"/>
        </w:rPr>
      </w:pPr>
      <w:r>
        <w:rPr>
          <w:rFonts w:hint="eastAsia" w:ascii="宋体" w:hAnsi="宋体"/>
          <w:sz w:val="24"/>
        </w:rPr>
        <w:t xml:space="preserve">4</w:t>
      </w:r>
      <w:r>
        <w:rPr>
          <w:rFonts w:ascii="宋体" w:hAnsi="宋体"/>
          <w:sz w:val="24"/>
        </w:rPr>
        <w:t xml:space="preserve">.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4.6</w:t>
      </w:r>
      <w:r>
        <w:rPr>
          <w:rFonts w:ascii="宋体" w:hAnsi="宋体"/>
          <w:sz w:val="24"/>
        </w:rPr>
        <w:t xml:space="preserve">信息安全产品</w:t>
      </w:r>
      <w:r>
        <w:rPr>
          <w:rFonts w:ascii="宋体" w:hAnsi="宋体"/>
          <w:sz w:val="24"/>
        </w:rPr>
      </w:r>
      <w:r/>
    </w:p>
    <w:p>
      <w:pPr>
        <w:pStyle w:val="1070"/>
        <w:ind w:firstLine="480"/>
        <w:spacing w:line="360" w:lineRule="auto"/>
        <w:tabs>
          <w:tab w:val="left" w:pos="1980" w:leader="none"/>
          <w:tab w:val="left" w:pos="2014" w:leader="none"/>
        </w:tabs>
        <w:rPr>
          <w:rFonts w:ascii="宋体" w:hAnsi="宋体"/>
          <w:sz w:val="24"/>
        </w:rPr>
      </w:pPr>
      <w:r>
        <w:rPr>
          <w:rFonts w:hint="eastAsia" w:ascii="宋体" w:hAnsi="宋体"/>
          <w:sz w:val="24"/>
        </w:rPr>
        <w:t xml:space="preserve">4</w:t>
      </w:r>
      <w:r>
        <w:rPr>
          <w:rFonts w:ascii="宋体" w:hAnsi="宋体"/>
          <w:sz w:val="24"/>
        </w:rPr>
        <w:t xml:space="preserve">.6.1所投产品属于《关于调整信息安全产品强制性认证实施要求的公告》（2009 年第33 号）范围的，采购经国家认证的信息安全产品，</w:t>
      </w:r>
      <w:r>
        <w:rPr>
          <w:rFonts w:ascii="宋体" w:hAnsi="宋体"/>
          <w:sz w:val="24"/>
        </w:rPr>
        <w:t xml:space="preserve">否则</w:t>
      </w:r>
      <w:r>
        <w:rPr>
          <w:rFonts w:ascii="宋体" w:hAnsi="宋体"/>
          <w:b/>
          <w:sz w:val="24"/>
        </w:rPr>
        <w:t xml:space="preserve">响应无效</w:t>
      </w:r>
      <w:r>
        <w:rPr>
          <w:rFonts w:ascii="宋体" w:hAnsi="宋体"/>
          <w:sz w:val="24"/>
        </w:rPr>
        <w:t xml:space="preserve">。关于信息安全相关规定依据《关于信息安全产品实施政府采购的通知》（财库〔2010〕48 号）。</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4.7政府采购创新产品政策</w:t>
      </w:r>
      <w:r>
        <w:rPr>
          <w:rFonts w:ascii="宋体" w:hAnsi="宋体"/>
          <w:sz w:val="24"/>
        </w:rPr>
      </w:r>
      <w:r/>
    </w:p>
    <w:p>
      <w:pPr>
        <w:pStyle w:val="1070"/>
        <w:ind w:firstLine="480"/>
        <w:spacing w:line="360" w:lineRule="auto"/>
        <w:tabs>
          <w:tab w:val="left" w:pos="1980" w:leader="none"/>
          <w:tab w:val="left" w:pos="2014" w:leader="none"/>
        </w:tabs>
        <w:rPr>
          <w:rFonts w:hint="eastAsia" w:ascii="宋体" w:hAnsi="宋体"/>
          <w:sz w:val="24"/>
        </w:rPr>
      </w:pPr>
      <w:r>
        <w:rPr>
          <w:rFonts w:hint="eastAsia" w:ascii="宋体" w:hAnsi="宋体"/>
          <w:sz w:val="24"/>
        </w:rPr>
        <w:t xml:space="preserve">4</w:t>
      </w:r>
      <w:r>
        <w:rPr>
          <w:rFonts w:ascii="宋体" w:hAnsi="宋体"/>
          <w:sz w:val="24"/>
        </w:rPr>
        <w:t xml:space="preserve">.7.1</w:t>
      </w:r>
      <w:r>
        <w:rPr>
          <w:rFonts w:hint="eastAsia" w:ascii="宋体" w:hAnsi="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sz w:val="24"/>
        </w:rPr>
      </w:r>
      <w:r/>
    </w:p>
    <w:p>
      <w:pPr>
        <w:pStyle w:val="1070"/>
        <w:ind w:firstLine="482"/>
        <w:spacing w:line="480" w:lineRule="exact"/>
        <w:rPr>
          <w:color w:val="000000"/>
          <w:sz w:val="24"/>
        </w:rPr>
      </w:pPr>
      <w:r>
        <w:rPr>
          <w:rFonts w:hint="eastAsia"/>
          <w:color w:val="000000"/>
          <w:sz w:val="24"/>
        </w:rPr>
        <w:t xml:space="preserve">4.8 绿色采购政策</w:t>
      </w:r>
      <w:r>
        <w:rPr>
          <w:color w:val="000000"/>
          <w:sz w:val="24"/>
        </w:rPr>
      </w:r>
      <w:r/>
    </w:p>
    <w:p>
      <w:pPr>
        <w:pStyle w:val="1070"/>
        <w:ind w:firstLine="482"/>
        <w:spacing w:line="480" w:lineRule="exact"/>
        <w:rPr>
          <w:rFonts w:ascii="宋体" w:hAnsi="宋体"/>
          <w:b/>
          <w:color w:val="000000"/>
          <w:sz w:val="24"/>
        </w:rPr>
      </w:pPr>
      <w:r>
        <w:rPr>
          <w:rFonts w:hint="eastAsia"/>
          <w:color w:val="000000"/>
          <w:sz w:val="24"/>
        </w:rPr>
        <w:t xml:space="preserve">4.8.1  </w:t>
      </w:r>
      <w:r>
        <w:rPr>
          <w:rFonts w:hint="eastAsia" w:ascii="宋体" w:hAnsi="宋体"/>
          <w:b/>
          <w:color w:val="000000"/>
          <w:sz w:val="24"/>
        </w:rPr>
        <w:t xml:space="preserve">绿色数据中心政策 </w:t>
      </w:r>
      <w:r>
        <w:rPr>
          <w:rFonts w:ascii="宋体" w:hAnsi="宋体"/>
          <w:b/>
          <w:color w:val="000000"/>
          <w:sz w:val="24"/>
        </w:rPr>
      </w:r>
      <w:r/>
    </w:p>
    <w:p>
      <w:pPr>
        <w:pStyle w:val="1070"/>
        <w:ind w:firstLine="480"/>
        <w:spacing w:line="480" w:lineRule="exact"/>
        <w:rPr>
          <w:rFonts w:ascii="宋体" w:hAnsi="宋体"/>
          <w:color w:val="000000"/>
          <w:sz w:val="24"/>
        </w:rPr>
      </w:pPr>
      <w:r>
        <w:rPr>
          <w:rFonts w:hint="eastAsia" w:ascii="宋体" w:hAnsi="宋体"/>
          <w:color w:val="000000"/>
          <w:sz w:val="24"/>
        </w:rPr>
        <w:t xml:space="preserve">依据《绿色数据中心政府采购需求标准（试行）》（财办库〔2023〕7 号）文件精神，采购</w:t>
      </w:r>
      <w:r>
        <w:rPr>
          <w:rFonts w:hint="eastAsia" w:ascii="宋体" w:hAnsi="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rPr>
      </w:r>
      <w:r/>
    </w:p>
    <w:p>
      <w:pPr>
        <w:pStyle w:val="1070"/>
        <w:ind w:firstLine="480"/>
        <w:spacing w:line="480" w:lineRule="exact"/>
        <w:rPr>
          <w:rFonts w:ascii="宋体" w:hAnsi="宋体"/>
          <w:color w:val="000000"/>
          <w:sz w:val="24"/>
        </w:rPr>
      </w:pPr>
      <w:r>
        <w:rPr>
          <w:rFonts w:hint="eastAsia" w:ascii="宋体" w:hAnsi="宋体"/>
          <w:color w:val="000000"/>
          <w:sz w:val="24"/>
        </w:rPr>
        <w:t xml:space="preserve">4.8.2 推广应用绿色建材</w:t>
      </w:r>
      <w:r>
        <w:rPr>
          <w:rFonts w:ascii="宋体" w:hAnsi="宋体"/>
          <w:color w:val="000000"/>
          <w:sz w:val="24"/>
        </w:rPr>
      </w:r>
      <w:r/>
    </w:p>
    <w:p>
      <w:pPr>
        <w:pStyle w:val="1070"/>
        <w:ind w:firstLine="480"/>
        <w:spacing w:line="480" w:lineRule="exact"/>
        <w:rPr>
          <w:rFonts w:ascii="宋体" w:hAnsi="宋体"/>
          <w:color w:val="000000"/>
          <w:sz w:val="24"/>
        </w:rPr>
      </w:pPr>
      <w:r>
        <w:rPr>
          <w:rFonts w:hint="eastAsia" w:ascii="宋体" w:hAnsi="宋体"/>
          <w:color w:val="000000"/>
          <w:sz w:val="24"/>
        </w:rPr>
        <w:t xml:space="preserve">采购人实施政府采购工程项目，要按照《常州市政府采购支持绿色建材促进建筑品质提升试点工作方案》（</w:t>
      </w:r>
      <w:r>
        <w:rPr>
          <w:rFonts w:hint="eastAsia"/>
          <w:color w:val="000000"/>
          <w:sz w:val="24"/>
        </w:rPr>
        <w:t xml:space="preserve">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ascii="宋体" w:hAnsi="宋体"/>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ascii="宋体" w:hAnsi="宋体"/>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ascii="宋体" w:hAnsi="宋体"/>
          <w:color w:val="000000"/>
          <w:sz w:val="24"/>
        </w:rPr>
        <w:t xml:space="preserve">），依据相关需求标准确定采购需求，在采购文件和采购合同中载明具体需求、履约验收条款和违约责任。</w:t>
      </w:r>
      <w:r>
        <w:rPr>
          <w:rFonts w:ascii="宋体" w:hAnsi="宋体"/>
          <w:color w:val="000000"/>
          <w:sz w:val="24"/>
        </w:rPr>
      </w:r>
      <w:r/>
    </w:p>
    <w:p>
      <w:pPr>
        <w:pStyle w:val="1070"/>
        <w:ind w:firstLine="480"/>
        <w:spacing w:line="480" w:lineRule="exact"/>
        <w:rPr>
          <w:rFonts w:ascii="宋体" w:hAnsi="宋体"/>
          <w:color w:val="000000"/>
          <w:sz w:val="24"/>
        </w:rPr>
      </w:pPr>
      <w:r>
        <w:rPr>
          <w:rFonts w:hint="eastAsia" w:ascii="宋体" w:hAnsi="宋体"/>
          <w:color w:val="000000"/>
          <w:sz w:val="24"/>
        </w:rPr>
        <w:t xml:space="preserve"> 4.8.3 优先使用低挥发性有机化合物产品</w:t>
      </w:r>
      <w:r>
        <w:rPr>
          <w:rFonts w:ascii="宋体" w:hAnsi="宋体"/>
          <w:color w:val="000000"/>
          <w:sz w:val="24"/>
        </w:rPr>
      </w:r>
      <w:r/>
    </w:p>
    <w:p>
      <w:pPr>
        <w:pStyle w:val="1070"/>
        <w:ind w:firstLine="480"/>
        <w:spacing w:line="480" w:lineRule="exact"/>
        <w:rPr>
          <w:color w:val="000000"/>
        </w:rPr>
      </w:pPr>
      <w:r>
        <w:rPr>
          <w:rFonts w:hint="eastAsia" w:ascii="宋体" w:hAnsi="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rPr>
      </w:r>
      <w:r/>
    </w:p>
    <w:p>
      <w:pPr>
        <w:pStyle w:val="1070"/>
        <w:spacing w:line="360" w:lineRule="auto"/>
        <w:tabs>
          <w:tab w:val="left" w:pos="360" w:leader="none"/>
        </w:tabs>
        <w:rPr>
          <w:rFonts w:ascii="宋体" w:hAnsi="宋体"/>
          <w:sz w:val="24"/>
        </w:rPr>
        <w:outlineLvl w:val="1"/>
      </w:pPr>
      <w:r>
        <w:rPr>
          <w:rFonts w:hint="eastAsia" w:ascii="宋体" w:hAnsi="宋体"/>
          <w:sz w:val="24"/>
          <w:lang w:eastAsia="zh-CN"/>
        </w:rPr>
        <w:t xml:space="preserve">5.</w:t>
      </w:r>
      <w:r>
        <w:rPr>
          <w:rFonts w:ascii="宋体" w:hAnsi="宋体"/>
          <w:sz w:val="24"/>
        </w:rPr>
        <w:t xml:space="preserve">响应费用</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8"/>
        </w:rPr>
      </w:pPr>
      <w:r>
        <w:rPr>
          <w:rFonts w:hint="eastAsia" w:ascii="宋体" w:hAnsi="宋体"/>
          <w:sz w:val="24"/>
        </w:rPr>
        <w:t xml:space="preserve">5.1</w:t>
      </w:r>
      <w:r>
        <w:rPr>
          <w:rFonts w:ascii="宋体" w:hAnsi="宋体"/>
          <w:sz w:val="24"/>
        </w:rPr>
        <w:t xml:space="preserve">供应商应自行承担所有与准备和参加磋商有关的费用，无论磋商的结果如何，采购人或采购代理机构在任何情况下均无承担这些费用的义务和责任。</w:t>
      </w:r>
      <w:bookmarkStart w:id="149" w:name="_1.8_计量单位"/>
      <w:r/>
      <w:bookmarkEnd w:id="149"/>
      <w:r>
        <w:rPr>
          <w:rFonts w:ascii="宋体" w:hAnsi="宋体"/>
          <w:sz w:val="28"/>
        </w:rPr>
      </w:r>
      <w:r/>
    </w:p>
    <w:p>
      <w:pPr>
        <w:pStyle w:val="1070"/>
        <w:jc w:val="center"/>
        <w:keepLines/>
        <w:keepNext/>
        <w:spacing w:line="360" w:lineRule="auto"/>
        <w:rPr>
          <w:rFonts w:ascii="宋体" w:hAnsi="宋体"/>
          <w:b/>
          <w:sz w:val="28"/>
          <w:szCs w:val="20"/>
        </w:rPr>
        <w:outlineLvl w:val="1"/>
      </w:pPr>
      <w:r>
        <w:rPr>
          <w:rFonts w:ascii="宋体" w:hAnsi="宋体"/>
          <w:b/>
          <w:sz w:val="28"/>
          <w:szCs w:val="20"/>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宋体" w:hAnsi="宋体"/>
          <w:b/>
          <w:sz w:val="28"/>
          <w:szCs w:val="20"/>
        </w:rPr>
      </w:r>
      <w:r/>
    </w:p>
    <w:p>
      <w:pPr>
        <w:pStyle w:val="1070"/>
        <w:spacing w:line="360" w:lineRule="auto"/>
        <w:tabs>
          <w:tab w:val="left" w:pos="360" w:leader="none"/>
        </w:tabs>
        <w:rPr>
          <w:rFonts w:ascii="宋体" w:hAnsi="宋体"/>
          <w:sz w:val="24"/>
        </w:rPr>
        <w:outlineLvl w:val="1"/>
      </w:pPr>
      <w:r/>
      <w:bookmarkStart w:id="150" w:name="_Toc127151523"/>
      <w:r/>
      <w:bookmarkStart w:id="151" w:name="_Toc164229218"/>
      <w:r/>
      <w:bookmarkStart w:id="152" w:name="_Toc305158865"/>
      <w:r/>
      <w:bookmarkStart w:id="153" w:name="_Toc151193911"/>
      <w:r/>
      <w:bookmarkStart w:id="154" w:name="_Toc226965796"/>
      <w:r/>
      <w:bookmarkStart w:id="155" w:name="_Toc226309767"/>
      <w:r/>
      <w:bookmarkStart w:id="156" w:name="_Toc151193621"/>
      <w:r/>
      <w:bookmarkStart w:id="157" w:name="_Toc164229364"/>
      <w:r/>
      <w:bookmarkStart w:id="158" w:name="_Toc164608637"/>
      <w:r/>
      <w:bookmarkStart w:id="159" w:name="_Toc150774623"/>
      <w:r/>
      <w:bookmarkStart w:id="160" w:name="_Toc151190150"/>
      <w:r/>
      <w:bookmarkStart w:id="161" w:name="_Toc142311025"/>
      <w:r/>
      <w:bookmarkStart w:id="162" w:name="_Toc127151724"/>
      <w:r/>
      <w:bookmarkStart w:id="163" w:name="_Toc520356147"/>
      <w:r/>
      <w:bookmarkStart w:id="164" w:name="_Toc226337219"/>
      <w:r/>
      <w:bookmarkStart w:id="165" w:name="_Toc151193693"/>
      <w:r/>
      <w:bookmarkStart w:id="166" w:name="_Toc164351617"/>
      <w:r/>
      <w:bookmarkStart w:id="167" w:name="_Toc226965713"/>
      <w:r/>
      <w:bookmarkStart w:id="168" w:name="_Toc305158791"/>
      <w:r/>
      <w:bookmarkStart w:id="169" w:name="_Toc164608792"/>
      <w:r/>
      <w:bookmarkStart w:id="170" w:name="_Toc195842888"/>
      <w:r/>
      <w:bookmarkStart w:id="171" w:name="_Toc151193765"/>
      <w:r/>
      <w:bookmarkStart w:id="172" w:name="_Toc151193837"/>
      <w:r/>
      <w:bookmarkStart w:id="173" w:name="_Toc150509274"/>
      <w:r/>
      <w:bookmarkStart w:id="174" w:name="_Toc127161437"/>
      <w:r/>
      <w:bookmarkStart w:id="175" w:name="_Toc149720816"/>
      <w:r/>
      <w:bookmarkStart w:id="176" w:name="_Toc265228361"/>
      <w:r/>
      <w:bookmarkStart w:id="177" w:name="_Toc264969213"/>
      <w:r/>
      <w:bookmarkStart w:id="178" w:name="_Toc150774728"/>
      <w:r/>
      <w:bookmarkStart w:id="179" w:name="_Toc150480761"/>
      <w:r>
        <w:rPr>
          <w:rFonts w:hint="eastAsia" w:ascii="宋体" w:hAnsi="宋体"/>
          <w:sz w:val="24"/>
          <w:lang w:eastAsia="zh-CN"/>
        </w:rPr>
        <w:t xml:space="preserve">6.</w:t>
      </w:r>
      <w:r>
        <w:rPr>
          <w:rFonts w:ascii="宋体" w:hAnsi="宋体"/>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ascii="宋体" w:hAnsi="宋体"/>
          <w:sz w:val="24"/>
        </w:rPr>
        <w:t xml:space="preserve">成</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6.1</w:t>
      </w:r>
      <w:r>
        <w:rPr>
          <w:rFonts w:ascii="宋体" w:hAnsi="宋体"/>
          <w:sz w:val="24"/>
        </w:rPr>
        <w:t xml:space="preserve">竞争性磋商文件包括以下部分：</w:t>
      </w:r>
      <w:r>
        <w:rPr>
          <w:rFonts w:ascii="宋体" w:hAnsi="宋体"/>
          <w:sz w:val="24"/>
        </w:rPr>
      </w:r>
      <w:r/>
    </w:p>
    <w:p>
      <w:pPr>
        <w:pStyle w:val="1070"/>
        <w:numPr>
          <w:ilvl w:val="0"/>
          <w:numId w:val="8"/>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采购邀请</w:t>
      </w:r>
      <w:r>
        <w:rPr>
          <w:rFonts w:ascii="宋体" w:hAnsi="宋体"/>
          <w:sz w:val="24"/>
        </w:rPr>
      </w:r>
      <w:r/>
    </w:p>
    <w:p>
      <w:pPr>
        <w:pStyle w:val="1070"/>
        <w:numPr>
          <w:ilvl w:val="0"/>
          <w:numId w:val="8"/>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供应商须知</w:t>
      </w:r>
      <w:r>
        <w:rPr>
          <w:rFonts w:ascii="宋体" w:hAnsi="宋体"/>
          <w:sz w:val="24"/>
        </w:rPr>
      </w:r>
      <w:r/>
    </w:p>
    <w:p>
      <w:pPr>
        <w:pStyle w:val="1070"/>
        <w:numPr>
          <w:ilvl w:val="0"/>
          <w:numId w:val="8"/>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评审</w:t>
      </w:r>
      <w:r>
        <w:rPr>
          <w:rFonts w:hint="eastAsia" w:ascii="宋体" w:hAnsi="宋体"/>
          <w:sz w:val="24"/>
        </w:rPr>
        <w:t xml:space="preserve">程序、评审</w:t>
      </w:r>
      <w:r>
        <w:rPr>
          <w:rFonts w:ascii="宋体" w:hAnsi="宋体"/>
          <w:sz w:val="24"/>
        </w:rPr>
        <w:t xml:space="preserve">方法和评审标准</w:t>
      </w:r>
      <w:r>
        <w:rPr>
          <w:rFonts w:ascii="宋体" w:hAnsi="宋体"/>
          <w:sz w:val="24"/>
        </w:rPr>
      </w:r>
      <w:r/>
    </w:p>
    <w:p>
      <w:pPr>
        <w:pStyle w:val="1070"/>
        <w:numPr>
          <w:ilvl w:val="0"/>
          <w:numId w:val="8"/>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采购需求</w:t>
      </w:r>
      <w:r>
        <w:rPr>
          <w:rFonts w:ascii="宋体" w:hAnsi="宋体"/>
          <w:sz w:val="24"/>
        </w:rPr>
      </w:r>
      <w:r/>
    </w:p>
    <w:p>
      <w:pPr>
        <w:pStyle w:val="1070"/>
        <w:numPr>
          <w:ilvl w:val="0"/>
          <w:numId w:val="8"/>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合同草案条款</w:t>
      </w:r>
      <w:r>
        <w:rPr>
          <w:rFonts w:ascii="宋体" w:hAnsi="宋体"/>
          <w:sz w:val="24"/>
        </w:rPr>
      </w:r>
      <w:r/>
    </w:p>
    <w:p>
      <w:pPr>
        <w:pStyle w:val="1070"/>
        <w:numPr>
          <w:ilvl w:val="0"/>
          <w:numId w:val="8"/>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响应文件格式</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6.2</w:t>
      </w:r>
      <w:r>
        <w:rPr>
          <w:rFonts w:ascii="宋体" w:hAnsi="宋体"/>
          <w:sz w:val="24"/>
        </w:rPr>
        <w:t xml:space="preserve">供应商应认真阅读竞争性磋商文件的全部内容。供应商应按照竞争性磋商文件要求提交响应文件并保证所提供的全部资料的真实性，并对竞争性磋商文件</w:t>
      </w:r>
      <w:r>
        <w:rPr>
          <w:rFonts w:hint="eastAsia" w:ascii="宋体" w:hAnsi="宋体"/>
          <w:sz w:val="24"/>
        </w:rPr>
        <w:t xml:space="preserve">作出</w:t>
      </w:r>
      <w:r>
        <w:rPr>
          <w:rFonts w:ascii="宋体" w:hAnsi="宋体"/>
          <w:sz w:val="24"/>
        </w:rPr>
        <w:t xml:space="preserve">实质性响应，否则</w:t>
      </w:r>
      <w:r>
        <w:rPr>
          <w:rFonts w:ascii="宋体" w:hAnsi="宋体"/>
          <w:b/>
          <w:sz w:val="24"/>
        </w:rPr>
        <w:t xml:space="preserve">响应无效</w:t>
      </w:r>
      <w:r>
        <w:rPr>
          <w:rFonts w:ascii="宋体" w:hAnsi="宋体"/>
          <w:sz w:val="24"/>
        </w:rPr>
        <w:t xml:space="preserve">。</w:t>
      </w:r>
      <w:r>
        <w:rPr>
          <w:rFonts w:ascii="宋体" w:hAnsi="宋体"/>
          <w:sz w:val="24"/>
        </w:rPr>
      </w:r>
      <w:r/>
    </w:p>
    <w:p>
      <w:pPr>
        <w:pStyle w:val="1070"/>
        <w:spacing w:line="360" w:lineRule="auto"/>
        <w:tabs>
          <w:tab w:val="left" w:pos="1080" w:leader="none"/>
          <w:tab w:val="left" w:pos="2014" w:leader="none"/>
        </w:tabs>
        <w:rPr>
          <w:rFonts w:ascii="宋体" w:hAnsi="宋体"/>
          <w:sz w:val="24"/>
        </w:rPr>
        <w:outlineLvl w:val="1"/>
      </w:pPr>
      <w:r>
        <w:rPr>
          <w:rFonts w:hint="eastAsia" w:ascii="宋体" w:hAnsi="宋体"/>
          <w:sz w:val="24"/>
          <w:lang w:eastAsia="zh-CN"/>
        </w:rPr>
        <w:t xml:space="preserve">7.</w:t>
      </w:r>
      <w:r>
        <w:rPr>
          <w:rFonts w:ascii="宋体" w:hAnsi="宋体"/>
          <w:sz w:val="24"/>
        </w:rPr>
        <w:t xml:space="preserve">对竞争性磋商文件的澄清或修改</w:t>
      </w:r>
      <w:r>
        <w:rPr>
          <w:rFonts w:ascii="宋体" w:hAnsi="宋体"/>
          <w:sz w:val="24"/>
        </w:rPr>
      </w:r>
      <w:r/>
    </w:p>
    <w:p>
      <w:pPr>
        <w:pStyle w:val="1070"/>
        <w:ind w:firstLine="480"/>
        <w:spacing w:line="360" w:lineRule="auto"/>
        <w:tabs>
          <w:tab w:val="left" w:pos="1080" w:leader="none"/>
          <w:tab w:val="left" w:pos="1561" w:leader="none"/>
          <w:tab w:val="left" w:pos="1589" w:leader="none"/>
          <w:tab w:val="left" w:pos="2014" w:leader="none"/>
        </w:tabs>
        <w:rPr>
          <w:rFonts w:ascii="宋体" w:hAnsi="宋体"/>
          <w:sz w:val="24"/>
        </w:rPr>
      </w:pPr>
      <w:r>
        <w:rPr>
          <w:rFonts w:hint="eastAsia" w:ascii="宋体" w:hAnsi="宋体"/>
          <w:sz w:val="24"/>
        </w:rPr>
        <w:t xml:space="preserve">7.1</w:t>
      </w:r>
      <w:r>
        <w:rPr>
          <w:rFonts w:ascii="宋体" w:hAnsi="宋体"/>
          <w:sz w:val="24"/>
        </w:rPr>
        <w:t xml:space="preserve">采购人或采购代理机构对已发出的竞争性磋商文件进行必要澄清或者修改的，将在原公告发布媒体上以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w:t>
      </w:r>
      <w:r>
        <w:rPr>
          <w:rFonts w:hint="eastAsia" w:ascii="宋体" w:hAnsi="宋体"/>
          <w:sz w:val="24"/>
        </w:rPr>
        <w:t xml:space="preserve">磋商文件</w:t>
      </w:r>
      <w:r>
        <w:rPr>
          <w:rFonts w:ascii="宋体" w:hAnsi="宋体"/>
          <w:sz w:val="24"/>
        </w:rPr>
        <w:t xml:space="preserve">的</w:t>
      </w:r>
      <w:r>
        <w:rPr>
          <w:rFonts w:hint="eastAsia" w:ascii="宋体" w:hAnsi="宋体"/>
          <w:sz w:val="24"/>
        </w:rPr>
        <w:t xml:space="preserve">供应商。</w:t>
      </w:r>
      <w:r>
        <w:rPr>
          <w:rFonts w:ascii="宋体" w:hAnsi="宋体"/>
          <w:sz w:val="24"/>
        </w:rPr>
      </w:r>
      <w:r/>
    </w:p>
    <w:p>
      <w:pPr>
        <w:pStyle w:val="1070"/>
        <w:ind w:firstLine="480"/>
        <w:spacing w:line="360" w:lineRule="auto"/>
        <w:tabs>
          <w:tab w:val="left" w:pos="1080" w:leader="none"/>
          <w:tab w:val="left" w:pos="1561" w:leader="none"/>
          <w:tab w:val="left" w:pos="1589" w:leader="none"/>
          <w:tab w:val="left" w:pos="2014" w:leader="none"/>
        </w:tabs>
        <w:rPr>
          <w:rFonts w:ascii="宋体" w:hAnsi="宋体"/>
          <w:sz w:val="28"/>
        </w:rPr>
      </w:pPr>
      <w:r>
        <w:rPr>
          <w:rFonts w:hint="eastAsia" w:ascii="宋体" w:hAnsi="宋体"/>
          <w:sz w:val="24"/>
        </w:rPr>
        <w:t xml:space="preserve">7.2</w:t>
      </w:r>
      <w:r>
        <w:rPr>
          <w:rFonts w:ascii="宋体" w:hAnsi="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sz w:val="24"/>
        </w:rPr>
        <w:t xml:space="preserve">5</w:t>
      </w:r>
      <w:r>
        <w:rPr>
          <w:rFonts w:ascii="宋体" w:hAnsi="宋体"/>
          <w:sz w:val="24"/>
        </w:rPr>
        <w:t xml:space="preserve">日前</w:t>
      </w:r>
      <w:r>
        <w:rPr>
          <w:rFonts w:hint="eastAsia" w:ascii="宋体" w:hAnsi="宋体"/>
          <w:sz w:val="24"/>
        </w:rPr>
        <w:t xml:space="preserve">，</w:t>
      </w:r>
      <w:r>
        <w:rPr>
          <w:rFonts w:ascii="宋体" w:hAnsi="宋体"/>
          <w:sz w:val="24"/>
        </w:rPr>
        <w:t xml:space="preserve">以更正公告形式通知所有获取</w:t>
      </w:r>
      <w:r>
        <w:rPr>
          <w:rFonts w:hint="eastAsia" w:ascii="宋体" w:hAnsi="宋体"/>
          <w:sz w:val="24"/>
        </w:rPr>
        <w:t xml:space="preserve">磋商</w:t>
      </w:r>
      <w:r>
        <w:rPr>
          <w:rFonts w:ascii="宋体" w:hAnsi="宋体"/>
          <w:sz w:val="24"/>
        </w:rPr>
        <w:t xml:space="preserve">文件的潜在供应商；不足上述时间的，将顺延提交响应文件的截止时间。</w:t>
      </w:r>
      <w:bookmarkStart w:id="180" w:name="_Toc151193914"/>
      <w:r/>
      <w:bookmarkStart w:id="181" w:name="_Toc151190153"/>
      <w:r/>
      <w:bookmarkStart w:id="182" w:name="_Toc520356150"/>
      <w:r/>
      <w:bookmarkStart w:id="183" w:name="_Toc150774731"/>
      <w:r/>
      <w:bookmarkStart w:id="184" w:name="_Toc226965799"/>
      <w:r/>
      <w:bookmarkStart w:id="185" w:name="_Toc264969216"/>
      <w:r/>
      <w:bookmarkStart w:id="186" w:name="_Toc151193624"/>
      <w:r/>
      <w:bookmarkStart w:id="187" w:name="_Toc305158794"/>
      <w:r/>
      <w:bookmarkStart w:id="188" w:name="_Toc150509277"/>
      <w:r/>
      <w:bookmarkStart w:id="189" w:name="_Toc226965716"/>
      <w:r/>
      <w:bookmarkStart w:id="190" w:name="_Toc150774626"/>
      <w:r/>
      <w:bookmarkStart w:id="191" w:name="_Toc151193840"/>
      <w:r/>
      <w:bookmarkStart w:id="192" w:name="_Toc150480764"/>
      <w:r/>
      <w:bookmarkStart w:id="193" w:name="_Toc265228364"/>
      <w:r/>
      <w:bookmarkStart w:id="194" w:name="_Toc305158868"/>
      <w:r/>
      <w:bookmarkStart w:id="195" w:name="_Toc226309770"/>
      <w:r/>
      <w:bookmarkStart w:id="196" w:name="_Toc226337222"/>
      <w:r/>
      <w:bookmarkStart w:id="197" w:name="_Toc127151526"/>
      <w:r/>
      <w:bookmarkStart w:id="198" w:name="_Toc142311028"/>
      <w:r/>
      <w:bookmarkStart w:id="199" w:name="_Toc151193696"/>
      <w:r/>
      <w:bookmarkStart w:id="200" w:name="_Toc516367020"/>
      <w:r/>
      <w:bookmarkStart w:id="201" w:name="_Toc195842891"/>
      <w:r/>
      <w:bookmarkStart w:id="202" w:name="_Toc151193768"/>
      <w:r>
        <w:rPr>
          <w:rFonts w:ascii="宋体" w:hAnsi="宋体"/>
          <w:sz w:val="28"/>
        </w:rPr>
      </w:r>
      <w:r/>
    </w:p>
    <w:p>
      <w:pPr>
        <w:pStyle w:val="1070"/>
        <w:jc w:val="center"/>
        <w:keepLines/>
        <w:keepNext/>
        <w:spacing w:line="360" w:lineRule="auto"/>
        <w:rPr>
          <w:rFonts w:ascii="宋体" w:hAnsi="宋体"/>
          <w:b/>
          <w:sz w:val="28"/>
          <w:szCs w:val="20"/>
        </w:rPr>
        <w:outlineLvl w:val="1"/>
      </w:pPr>
      <w:r>
        <w:rPr>
          <w:rFonts w:ascii="宋体" w:hAnsi="宋体"/>
          <w:b/>
          <w:sz w:val="28"/>
          <w:szCs w:val="20"/>
        </w:rPr>
        <w:t xml:space="preserve">三   响应文件</w:t>
      </w:r>
      <w:bookmarkEnd w:id="200"/>
      <w:r>
        <w:rPr>
          <w:rFonts w:ascii="宋体" w:hAnsi="宋体"/>
          <w:b/>
          <w:sz w:val="28"/>
          <w:szCs w:val="20"/>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1"/>
      <w:r/>
      <w:bookmarkEnd w:id="202"/>
      <w:r>
        <w:rPr>
          <w:rFonts w:ascii="宋体" w:hAnsi="宋体"/>
          <w:b/>
          <w:sz w:val="28"/>
          <w:szCs w:val="20"/>
        </w:rPr>
      </w:r>
      <w:r/>
    </w:p>
    <w:p>
      <w:pPr>
        <w:pStyle w:val="1070"/>
        <w:spacing w:line="360" w:lineRule="auto"/>
        <w:tabs>
          <w:tab w:val="left" w:pos="360" w:leader="none"/>
        </w:tabs>
        <w:rPr>
          <w:rFonts w:ascii="宋体" w:hAnsi="宋体"/>
          <w:sz w:val="24"/>
        </w:rPr>
        <w:outlineLvl w:val="1"/>
      </w:pPr>
      <w:r/>
      <w:bookmarkStart w:id="203" w:name="_Toc520356151"/>
      <w:r/>
      <w:bookmarkStart w:id="204" w:name="_Toc164229222"/>
      <w:r/>
      <w:bookmarkStart w:id="205" w:name="_Toc226309771"/>
      <w:r/>
      <w:bookmarkStart w:id="206" w:name="_Toc151193697"/>
      <w:r/>
      <w:bookmarkStart w:id="207" w:name="_Toc150509278"/>
      <w:r/>
      <w:bookmarkStart w:id="208" w:name="_Toc265228365"/>
      <w:r/>
      <w:bookmarkStart w:id="209" w:name="_Toc127151527"/>
      <w:r/>
      <w:bookmarkStart w:id="210" w:name="_Toc164608796"/>
      <w:r/>
      <w:bookmarkStart w:id="211" w:name="_Toc264969217"/>
      <w:r/>
      <w:bookmarkStart w:id="212" w:name="_Toc127151728"/>
      <w:r/>
      <w:bookmarkStart w:id="213" w:name="_Toc164351621"/>
      <w:r/>
      <w:bookmarkStart w:id="214" w:name="_Toc164608641"/>
      <w:r/>
      <w:bookmarkStart w:id="215" w:name="_Toc150480765"/>
      <w:r/>
      <w:bookmarkStart w:id="216" w:name="_Toc226965717"/>
      <w:r/>
      <w:bookmarkStart w:id="217" w:name="_Toc150774732"/>
      <w:r/>
      <w:bookmarkStart w:id="218" w:name="_Toc151190154"/>
      <w:r/>
      <w:bookmarkStart w:id="219" w:name="_Toc305158869"/>
      <w:r/>
      <w:bookmarkStart w:id="220" w:name="_Toc151193915"/>
      <w:r/>
      <w:bookmarkStart w:id="221" w:name="_Toc151193841"/>
      <w:r/>
      <w:bookmarkStart w:id="222" w:name="_Toc164229368"/>
      <w:r/>
      <w:bookmarkStart w:id="223" w:name="_Toc195842892"/>
      <w:r/>
      <w:bookmarkStart w:id="224" w:name="_Toc150774627"/>
      <w:r/>
      <w:bookmarkStart w:id="225" w:name="_Toc226965800"/>
      <w:r/>
      <w:bookmarkStart w:id="226" w:name="_Toc516367021"/>
      <w:r/>
      <w:bookmarkStart w:id="227" w:name="_Toc226337223"/>
      <w:r/>
      <w:bookmarkStart w:id="228" w:name="_Toc151193625"/>
      <w:r/>
      <w:bookmarkStart w:id="229" w:name="_Toc149720820"/>
      <w:r/>
      <w:bookmarkStart w:id="230" w:name="_Toc142311029"/>
      <w:r/>
      <w:bookmarkStart w:id="231" w:name="_Toc127161441"/>
      <w:r/>
      <w:bookmarkStart w:id="232" w:name="_Toc305158795"/>
      <w:r/>
      <w:bookmarkStart w:id="233" w:name="_Toc151193769"/>
      <w:r>
        <w:rPr>
          <w:rFonts w:hint="eastAsia" w:ascii="宋体" w:hAnsi="宋体"/>
          <w:sz w:val="24"/>
          <w:lang w:eastAsia="zh-CN"/>
        </w:rPr>
        <w:t xml:space="preserve">8.</w:t>
      </w:r>
      <w:r>
        <w:rPr>
          <w:rFonts w:ascii="宋体" w:hAnsi="宋体"/>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ascii="宋体" w:hAnsi="宋体"/>
          <w:sz w:val="24"/>
        </w:rPr>
        <w:t xml:space="preserve">及磋商语言</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8.1</w:t>
      </w:r>
      <w:r>
        <w:rPr>
          <w:rFonts w:ascii="宋体" w:hAnsi="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 w:val="24"/>
        </w:rPr>
        <w:t xml:space="preserve">响应无效</w:t>
      </w:r>
      <w:r>
        <w:rPr>
          <w:rFonts w:ascii="宋体" w:hAnsi="宋体"/>
          <w:sz w:val="24"/>
        </w:rPr>
        <w:t xml:space="preserve">。</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8.2</w:t>
      </w:r>
      <w:r>
        <w:rPr>
          <w:rFonts w:ascii="宋体" w:hAnsi="宋体"/>
          <w:sz w:val="24"/>
        </w:rPr>
        <w:t xml:space="preserve">除竞争性磋商文件有特殊要求外，本项目磋商所使用的计量单位，应采用中华人民共和国法定计量单位。</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8.3</w:t>
      </w:r>
      <w:r>
        <w:rPr>
          <w:rFonts w:ascii="宋体" w:hAnsi="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w:t>
      </w:r>
      <w:r>
        <w:rPr>
          <w:rFonts w:hint="eastAsia" w:ascii="宋体" w:hAnsi="宋体"/>
          <w:sz w:val="24"/>
          <w:lang w:eastAsia="zh-CN"/>
        </w:rPr>
        <w:t xml:space="preserve">本的</w:t>
      </w:r>
      <w:r>
        <w:rPr>
          <w:rFonts w:ascii="宋体" w:hAnsi="宋体"/>
          <w:sz w:val="24"/>
        </w:rPr>
        <w:t xml:space="preserve">中文内容明显与外文内容不一致的，其不利后果由供应商自行承担。</w:t>
      </w:r>
      <w:r>
        <w:rPr>
          <w:rFonts w:ascii="宋体" w:hAnsi="宋体"/>
          <w:sz w:val="24"/>
        </w:rPr>
      </w:r>
      <w:r/>
    </w:p>
    <w:p>
      <w:pPr>
        <w:pStyle w:val="1070"/>
        <w:spacing w:line="360" w:lineRule="auto"/>
        <w:tabs>
          <w:tab w:val="left" w:pos="360" w:leader="none"/>
        </w:tabs>
        <w:rPr>
          <w:rFonts w:ascii="宋体" w:hAnsi="宋体"/>
          <w:sz w:val="24"/>
        </w:rPr>
        <w:outlineLvl w:val="1"/>
      </w:pPr>
      <w:r/>
      <w:bookmarkStart w:id="234" w:name="_Toc164229369"/>
      <w:r/>
      <w:bookmarkStart w:id="235" w:name="_Toc164351622"/>
      <w:r/>
      <w:bookmarkStart w:id="236" w:name="_Toc151193626"/>
      <w:r/>
      <w:bookmarkStart w:id="237" w:name="_Toc151193842"/>
      <w:r/>
      <w:bookmarkStart w:id="238" w:name="_Toc195842893"/>
      <w:r/>
      <w:bookmarkStart w:id="239" w:name="_Ref467306195"/>
      <w:r/>
      <w:bookmarkStart w:id="240" w:name="_Toc226965801"/>
      <w:r/>
      <w:bookmarkStart w:id="241" w:name="_Toc150480766"/>
      <w:r/>
      <w:bookmarkStart w:id="242" w:name="_Toc226337224"/>
      <w:r/>
      <w:bookmarkStart w:id="243" w:name="_Ref467306676"/>
      <w:r/>
      <w:bookmarkStart w:id="244" w:name="_Toc516367022"/>
      <w:r/>
      <w:bookmarkStart w:id="245" w:name="_Toc164229223"/>
      <w:r/>
      <w:bookmarkStart w:id="246" w:name="_Toc127151729"/>
      <w:r/>
      <w:bookmarkStart w:id="247" w:name="_Toc150774733"/>
      <w:r/>
      <w:bookmarkStart w:id="248" w:name="_Toc150774628"/>
      <w:r/>
      <w:bookmarkStart w:id="249" w:name="_Toc265228366"/>
      <w:r/>
      <w:bookmarkStart w:id="250" w:name="_Toc149720821"/>
      <w:r/>
      <w:bookmarkStart w:id="251" w:name="_Toc226965718"/>
      <w:r/>
      <w:bookmarkStart w:id="252" w:name="_Toc305158796"/>
      <w:r/>
      <w:bookmarkStart w:id="253" w:name="_Toc151190155"/>
      <w:r/>
      <w:bookmarkStart w:id="254" w:name="_Toc151193770"/>
      <w:r/>
      <w:bookmarkStart w:id="255" w:name="_Toc226309772"/>
      <w:r/>
      <w:bookmarkStart w:id="256" w:name="_Toc151193916"/>
      <w:r/>
      <w:bookmarkStart w:id="257" w:name="_Toc150509279"/>
      <w:r/>
      <w:bookmarkStart w:id="258" w:name="_Toc127151528"/>
      <w:r/>
      <w:bookmarkStart w:id="259" w:name="_Toc264969218"/>
      <w:r/>
      <w:bookmarkStart w:id="260" w:name="_Toc142311030"/>
      <w:r/>
      <w:bookmarkStart w:id="261" w:name="_Toc164608642"/>
      <w:r/>
      <w:bookmarkStart w:id="262" w:name="_Toc520356152"/>
      <w:r/>
      <w:bookmarkStart w:id="263" w:name="_Toc151193698"/>
      <w:r/>
      <w:bookmarkStart w:id="264" w:name="_Toc164608797"/>
      <w:r/>
      <w:bookmarkStart w:id="265" w:name="_Toc305158870"/>
      <w:r/>
      <w:bookmarkStart w:id="266" w:name="_Toc127161442"/>
      <w:r>
        <w:rPr>
          <w:rFonts w:hint="eastAsia" w:ascii="宋体" w:hAnsi="宋体"/>
          <w:sz w:val="24"/>
          <w:lang w:eastAsia="zh-CN"/>
        </w:rPr>
        <w:t xml:space="preserve">9.</w:t>
      </w:r>
      <w:r>
        <w:rPr>
          <w:rFonts w:ascii="宋体" w:hAnsi="宋体"/>
          <w:sz w:val="24"/>
        </w:rPr>
        <w:t xml:space="preserve">响应文件</w:t>
      </w:r>
      <w:bookmarkEnd w:id="239"/>
      <w:r/>
      <w:bookmarkEnd w:id="243"/>
      <w:r/>
      <w:bookmarkEnd w:id="244"/>
      <w:r>
        <w:rPr>
          <w:rFonts w:ascii="宋体" w:hAnsi="宋体"/>
          <w:sz w:val="24"/>
        </w:rPr>
        <w:t xml:space="preserve">构成</w:t>
      </w:r>
      <w:bookmarkEnd w:id="234"/>
      <w:r/>
      <w:bookmarkEnd w:id="235"/>
      <w:r/>
      <w:bookmarkEnd w:id="236"/>
      <w:r/>
      <w:bookmarkEnd w:id="237"/>
      <w:r/>
      <w:bookmarkEnd w:id="238"/>
      <w:r/>
      <w:bookmarkEnd w:id="240"/>
      <w:r/>
      <w:bookmarkEnd w:id="241"/>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bookmarkStart w:id="267" w:name="_Ref467052588"/>
      <w:r>
        <w:rPr>
          <w:rFonts w:hint="eastAsia" w:ascii="宋体" w:hAnsi="宋体"/>
          <w:sz w:val="24"/>
        </w:rPr>
        <w:t xml:space="preserve">9.1</w:t>
      </w:r>
      <w:r>
        <w:rPr>
          <w:rFonts w:ascii="宋体" w:hAnsi="宋体"/>
          <w:sz w:val="24"/>
        </w:rPr>
        <w:t xml:space="preserve">供应商应当按照竞争性磋商文件的要求编制响应文件，</w:t>
      </w:r>
      <w:r>
        <w:rPr>
          <w:rFonts w:ascii="宋体" w:hAnsi="宋体"/>
          <w:sz w:val="24"/>
        </w:rPr>
        <w:t xml:space="preserve">并对其提交的响应文件的真实性、合法性承担法律责任</w:t>
      </w:r>
      <w:r>
        <w:rPr>
          <w:rFonts w:ascii="宋体" w:hAnsi="宋体"/>
          <w:sz w:val="24"/>
        </w:rPr>
        <w:t xml:space="preserve">。响应文件的部分格式要求，见第六章《响应文件格式》。</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9.2</w:t>
      </w:r>
      <w:r>
        <w:rPr>
          <w:rFonts w:ascii="宋体" w:hAnsi="宋体"/>
          <w:sz w:val="24"/>
        </w:rPr>
        <w:t xml:space="preserve">对于竞争性磋商文件中标记了“实质性格式”文件的，</w:t>
      </w:r>
      <w:r>
        <w:rPr>
          <w:rFonts w:ascii="宋体" w:hAnsi="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9.3</w:t>
      </w:r>
      <w:r>
        <w:rPr>
          <w:rFonts w:ascii="宋体" w:hAnsi="宋体"/>
          <w:sz w:val="24"/>
        </w:rPr>
        <w:t xml:space="preserve">第三章《评审方法和评审标准》中涉及的证明文件。</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9.4</w:t>
      </w:r>
      <w:r>
        <w:rPr>
          <w:rFonts w:ascii="宋体" w:hAnsi="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9.5</w:t>
      </w:r>
      <w:r>
        <w:rPr>
          <w:rFonts w:ascii="宋体" w:hAnsi="宋体"/>
          <w:sz w:val="24"/>
        </w:rPr>
        <w:t xml:space="preserve">供应商认为应附的其他材料。</w:t>
      </w:r>
      <w:bookmarkEnd w:id="267"/>
      <w:r>
        <w:rPr>
          <w:rFonts w:ascii="宋体" w:hAnsi="宋体"/>
          <w:sz w:val="24"/>
        </w:rPr>
      </w:r>
      <w:r/>
    </w:p>
    <w:p>
      <w:pPr>
        <w:pStyle w:val="1070"/>
        <w:spacing w:line="360" w:lineRule="auto"/>
        <w:tabs>
          <w:tab w:val="left" w:pos="360" w:leader="none"/>
        </w:tabs>
        <w:rPr>
          <w:rFonts w:ascii="宋体" w:hAnsi="宋体"/>
          <w:sz w:val="24"/>
        </w:rPr>
        <w:outlineLvl w:val="1"/>
      </w:pPr>
      <w:r/>
      <w:bookmarkStart w:id="268" w:name="_Toc142311032"/>
      <w:r/>
      <w:bookmarkStart w:id="269" w:name="_Toc164351624"/>
      <w:r/>
      <w:bookmarkStart w:id="270" w:name="_Toc151193772"/>
      <w:r/>
      <w:bookmarkStart w:id="271" w:name="_Toc127151530"/>
      <w:r/>
      <w:bookmarkStart w:id="272" w:name="_Toc195842895"/>
      <w:r/>
      <w:bookmarkStart w:id="273" w:name="_Toc164229225"/>
      <w:r/>
      <w:bookmarkStart w:id="274" w:name="_Toc164608644"/>
      <w:r/>
      <w:bookmarkStart w:id="275" w:name="_Toc151193700"/>
      <w:r/>
      <w:bookmarkStart w:id="276" w:name="_Toc151193628"/>
      <w:r/>
      <w:bookmarkStart w:id="277" w:name="_Toc164229371"/>
      <w:r/>
      <w:bookmarkStart w:id="278" w:name="_Toc127151731"/>
      <w:r/>
      <w:bookmarkStart w:id="279" w:name="_Toc150774735"/>
      <w:r/>
      <w:bookmarkStart w:id="280" w:name="_Toc520356155"/>
      <w:r/>
      <w:bookmarkStart w:id="281" w:name="_Toc151193844"/>
      <w:r/>
      <w:bookmarkStart w:id="282" w:name="_Toc150480768"/>
      <w:r/>
      <w:bookmarkStart w:id="283" w:name="_Toc151190157"/>
      <w:r/>
      <w:bookmarkStart w:id="284" w:name="_Toc150774630"/>
      <w:r/>
      <w:bookmarkStart w:id="285" w:name="_Toc151193918"/>
      <w:r/>
      <w:bookmarkStart w:id="286" w:name="_Toc150509281"/>
      <w:r/>
      <w:bookmarkStart w:id="287" w:name="_Toc149720823"/>
      <w:r/>
      <w:bookmarkStart w:id="288" w:name="_Toc127161444"/>
      <w:r/>
      <w:bookmarkStart w:id="289" w:name="_Toc164608799"/>
      <w:r>
        <w:rPr>
          <w:rFonts w:hint="eastAsia" w:ascii="宋体" w:hAnsi="宋体"/>
          <w:sz w:val="24"/>
          <w:lang w:eastAsia="zh-CN"/>
        </w:rPr>
        <w:t xml:space="preserve">10.</w:t>
      </w:r>
      <w:r>
        <w:rPr>
          <w:rFonts w:ascii="宋体" w:hAnsi="宋体"/>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ascii="宋体" w:hAnsi="宋体"/>
          <w:sz w:val="24"/>
        </w:rPr>
      </w:r>
      <w:r/>
    </w:p>
    <w:p>
      <w:pPr>
        <w:pStyle w:val="1070"/>
        <w:ind w:firstLine="480"/>
        <w:spacing w:line="360" w:lineRule="auto"/>
        <w:rPr>
          <w:rFonts w:ascii="宋体" w:hAnsi="宋体"/>
          <w:b/>
          <w:bCs/>
          <w:sz w:val="24"/>
        </w:rPr>
      </w:pPr>
      <w:r>
        <w:rPr>
          <w:rFonts w:hint="eastAsia" w:ascii="宋体" w:hAnsi="宋体"/>
          <w:sz w:val="24"/>
        </w:rPr>
        <w:t xml:space="preserve">1</w:t>
      </w:r>
      <w:r>
        <w:rPr>
          <w:rFonts w:ascii="宋体" w:hAnsi="宋体"/>
          <w:sz w:val="24"/>
        </w:rPr>
        <w:t xml:space="preserve">0.1所有响应均以人民币报价。</w:t>
      </w:r>
      <w:r>
        <w:rPr>
          <w:rFonts w:hint="eastAsia" w:ascii="宋体" w:hAnsi="宋体"/>
          <w:b/>
          <w:bCs/>
          <w:sz w:val="24"/>
        </w:rPr>
        <w:t xml:space="preserve">本项目投标报价</w:t>
      </w:r>
      <w:r>
        <w:rPr>
          <w:rFonts w:hint="eastAsia" w:ascii="宋体" w:hAnsi="宋体" w:eastAsia="宋体" w:cs="Times New Roman"/>
          <w:b/>
          <w:bCs/>
          <w:color w:val="000000"/>
          <w:sz w:val="24"/>
          <w:highlight w:val="none"/>
        </w:rPr>
        <w:t xml:space="preserve">包括但不限于人工费用（基本工资（不低于溧阳市最低工资）、加班工资、高温费、社保（企业缴纳）、福利劳保、工具等费用）、车辆费用（油费、保险）、设备维修保养费用、设备折旧费用</w:t>
      </w:r>
      <w:r>
        <w:rPr>
          <w:rFonts w:hint="eastAsia" w:ascii="宋体" w:hAnsi="宋体" w:eastAsia="宋体" w:cs="Times New Roman"/>
          <w:b/>
          <w:bCs/>
          <w:color w:val="000000"/>
          <w:sz w:val="24"/>
          <w:highlight w:val="none"/>
          <w:lang w:eastAsia="zh-CN"/>
        </w:rPr>
        <w:t xml:space="preserve">、</w:t>
      </w:r>
      <w:r>
        <w:rPr>
          <w:rFonts w:hint="eastAsia" w:ascii="宋体" w:hAnsi="宋体"/>
          <w:b/>
          <w:bCs/>
          <w:sz w:val="24"/>
        </w:rPr>
        <w:t xml:space="preserve">保险费、培训、办公设备、耗材、利润、管理费、税金及政策性文件规定等各项应有费用，以及为完成该项服务项目所涉及到的一切相关费用</w:t>
      </w:r>
      <w:r>
        <w:rPr>
          <w:rFonts w:hint="eastAsia" w:ascii="宋体" w:hAnsi="宋体"/>
          <w:b/>
          <w:bCs/>
          <w:sz w:val="24"/>
        </w:rPr>
        <w:t xml:space="preserve">。</w:t>
      </w:r>
      <w:r>
        <w:rPr>
          <w:rFonts w:ascii="宋体" w:hAnsi="宋体"/>
          <w:b/>
          <w:bCs/>
          <w:sz w:val="24"/>
        </w:rPr>
      </w:r>
      <w:r/>
    </w:p>
    <w:p>
      <w:pPr>
        <w:pStyle w:val="1070"/>
        <w:ind w:firstLine="480"/>
        <w:spacing w:line="360" w:lineRule="auto"/>
        <w:tabs>
          <w:tab w:val="left" w:pos="1080" w:leader="none"/>
          <w:tab w:val="left" w:pos="1589" w:leader="none"/>
        </w:tabs>
        <w:rPr>
          <w:rFonts w:ascii="宋体" w:hAnsi="宋体"/>
          <w:sz w:val="24"/>
        </w:rPr>
      </w:pPr>
      <w:r>
        <w:rPr>
          <w:rFonts w:hint="eastAsia" w:ascii="宋体" w:hAnsi="宋体"/>
          <w:sz w:val="24"/>
        </w:rPr>
        <w:t xml:space="preserve">1</w:t>
      </w:r>
      <w:r>
        <w:rPr>
          <w:rFonts w:ascii="宋体" w:hAnsi="宋体"/>
          <w:sz w:val="24"/>
        </w:rPr>
        <w:t xml:space="preserve">0.1.1供应商的报价应包括</w:t>
      </w:r>
      <w:r>
        <w:rPr>
          <w:rFonts w:hint="eastAsia" w:ascii="宋体" w:hAnsi="宋体"/>
          <w:sz w:val="24"/>
          <w:lang w:val="zh-CN"/>
        </w:rPr>
        <w:t xml:space="preserve">磋商供应商在响应文件中提出的各项支付金额的总和，为实施、完成招标工程并修补缺陷以及履行竞争性磋商文件中约定的风险范围内的所有责任和义务所发生的全部费用。</w:t>
      </w:r>
      <w:r>
        <w:rPr>
          <w:rFonts w:hint="eastAsia" w:ascii="宋体" w:hAnsi="宋体"/>
          <w:sz w:val="24"/>
        </w:rPr>
        <w:t xml:space="preserve">供应商的报价应包括但不限于下列内容，《供应商须知资料表》中有特殊规定的，从其规定。</w:t>
      </w:r>
      <w:r>
        <w:rPr>
          <w:rFonts w:ascii="宋体" w:hAnsi="宋体"/>
          <w:sz w:val="24"/>
        </w:rPr>
      </w:r>
      <w:r/>
    </w:p>
    <w:p>
      <w:pPr>
        <w:pStyle w:val="1070"/>
        <w:ind w:firstLine="480"/>
        <w:spacing w:line="360" w:lineRule="auto"/>
        <w:tabs>
          <w:tab w:val="left" w:pos="1980" w:leader="none"/>
        </w:tabs>
        <w:rPr>
          <w:rFonts w:ascii="宋体" w:hAnsi="宋体"/>
          <w:sz w:val="24"/>
        </w:rPr>
      </w:pPr>
      <w:r>
        <w:rPr>
          <w:rFonts w:hint="eastAsia" w:ascii="宋体" w:hAnsi="宋体"/>
          <w:sz w:val="24"/>
        </w:rPr>
        <w:t xml:space="preserve">1</w:t>
      </w:r>
      <w:r>
        <w:rPr>
          <w:rFonts w:ascii="宋体" w:hAnsi="宋体"/>
          <w:sz w:val="24"/>
        </w:rPr>
        <w:t xml:space="preserve">0.1.2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宋体" w:hAnsi="宋体"/>
          <w:sz w:val="24"/>
        </w:rPr>
      </w:r>
      <w:r/>
    </w:p>
    <w:p>
      <w:pPr>
        <w:pStyle w:val="1070"/>
        <w:ind w:firstLine="480"/>
        <w:spacing w:line="360" w:lineRule="auto"/>
        <w:tabs>
          <w:tab w:val="left" w:pos="1980" w:leader="none"/>
        </w:tabs>
        <w:rPr>
          <w:rFonts w:ascii="宋体" w:hAnsi="宋体"/>
          <w:sz w:val="24"/>
        </w:rPr>
      </w:pPr>
      <w:r>
        <w:rPr>
          <w:rFonts w:ascii="宋体" w:hAnsi="宋体"/>
          <w:sz w:val="24"/>
        </w:rPr>
        <w:t xml:space="preserve">10.1.3按照竞争性磋商文件要求完成本项</w:t>
      </w:r>
      <w:r>
        <w:rPr>
          <w:rFonts w:hint="eastAsia" w:ascii="宋体" w:hAnsi="宋体"/>
          <w:sz w:val="24"/>
        </w:rPr>
        <w:t xml:space="preserve">目的全部相关工程或服务费用。</w:t>
      </w:r>
      <w:r>
        <w:rPr>
          <w:rFonts w:ascii="宋体" w:hAnsi="宋体"/>
          <w:sz w:val="24"/>
        </w:rPr>
        <w:t xml:space="preserve"> </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w:t>
      </w:r>
      <w:r>
        <w:rPr>
          <w:rFonts w:ascii="宋体" w:hAnsi="宋体"/>
          <w:sz w:val="24"/>
        </w:rPr>
        <w:t xml:space="preserve">0.2采购人不得向供应商索要或者接受其给予的赠品、回扣或者与采购无关的其他商品、服务。</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10.3供应商不能提供任何有选择性或可调整的最终报价（</w:t>
      </w:r>
      <w:r>
        <w:rPr>
          <w:rFonts w:ascii="宋体" w:hAnsi="宋体"/>
          <w:sz w:val="24"/>
        </w:rPr>
        <w:t xml:space="preserve">竞争性磋商文件</w:t>
      </w:r>
      <w:r>
        <w:rPr>
          <w:rFonts w:ascii="宋体" w:hAnsi="宋体"/>
          <w:sz w:val="24"/>
        </w:rPr>
        <w:t xml:space="preserve">另有规定的除外），否则其</w:t>
      </w:r>
      <w:r>
        <w:rPr>
          <w:rFonts w:ascii="宋体" w:hAnsi="宋体"/>
          <w:b/>
          <w:sz w:val="24"/>
        </w:rPr>
        <w:t xml:space="preserve">响应无效</w:t>
      </w:r>
      <w:r>
        <w:rPr>
          <w:rFonts w:ascii="宋体" w:hAnsi="宋体"/>
          <w:sz w:val="24"/>
        </w:rPr>
        <w:t xml:space="preserve">。</w:t>
      </w:r>
      <w:r>
        <w:rPr>
          <w:rFonts w:ascii="宋体" w:hAnsi="宋体"/>
          <w:sz w:val="24"/>
        </w:rPr>
      </w:r>
      <w:r/>
    </w:p>
    <w:p>
      <w:pPr>
        <w:pStyle w:val="1070"/>
        <w:spacing w:line="360" w:lineRule="auto"/>
        <w:tabs>
          <w:tab w:val="left" w:pos="900" w:leader="none"/>
          <w:tab w:val="left" w:pos="1080" w:leader="none"/>
          <w:tab w:val="left" w:pos="1589" w:leader="none"/>
          <w:tab w:val="left" w:pos="1980" w:leader="none"/>
          <w:tab w:val="left" w:pos="2035" w:leader="none"/>
          <w:tab w:val="left" w:pos="2114" w:leader="none"/>
        </w:tabs>
        <w:rPr>
          <w:rFonts w:ascii="宋体" w:hAnsi="宋体"/>
          <w:sz w:val="24"/>
        </w:rPr>
      </w:pPr>
      <w:r>
        <w:rPr>
          <w:rFonts w:hint="eastAsia" w:ascii="宋体" w:hAnsi="宋体"/>
          <w:sz w:val="24"/>
        </w:rPr>
        <w:t xml:space="preserve">10.4</w:t>
      </w:r>
      <w:r>
        <w:rPr>
          <w:rFonts w:ascii="宋体" w:hAnsi="宋体"/>
          <w:sz w:val="24"/>
        </w:rPr>
        <w:t xml:space="preserve">保证金</w:t>
      </w:r>
      <w:r>
        <w:rPr>
          <w:rFonts w:ascii="宋体" w:hAnsi="宋体"/>
          <w:sz w:val="24"/>
        </w:rPr>
      </w:r>
      <w:r/>
    </w:p>
    <w:p>
      <w:pPr>
        <w:pStyle w:val="1070"/>
        <w:ind w:firstLine="360"/>
        <w:spacing w:line="360" w:lineRule="auto"/>
        <w:tabs>
          <w:tab w:val="left" w:pos="360" w:leader="none"/>
        </w:tabs>
        <w:rPr>
          <w:rFonts w:hint="eastAsia" w:ascii="宋体" w:hAnsi="宋体"/>
          <w:sz w:val="24"/>
        </w:rPr>
        <w:outlineLvl w:val="1"/>
      </w:pPr>
      <w:r>
        <w:rPr>
          <w:rFonts w:ascii="宋体" w:hAnsi="宋体"/>
          <w:sz w:val="24"/>
        </w:rPr>
        <w:t xml:space="preserve">磋商保证金</w:t>
      </w:r>
      <w:r>
        <w:rPr>
          <w:rFonts w:hint="eastAsia" w:ascii="宋体" w:hAnsi="宋体"/>
          <w:sz w:val="24"/>
        </w:rPr>
        <w:t xml:space="preserve">：根据江苏省和常州市的相关文件规定，免收保证金。</w:t>
      </w:r>
      <w:r>
        <w:rPr>
          <w:rFonts w:hint="eastAsia" w:ascii="宋体" w:hAnsi="宋体"/>
          <w:sz w:val="24"/>
        </w:rPr>
      </w:r>
      <w:r/>
    </w:p>
    <w:p>
      <w:pPr>
        <w:pStyle w:val="1070"/>
        <w:ind w:firstLine="360"/>
        <w:spacing w:line="360" w:lineRule="auto"/>
        <w:tabs>
          <w:tab w:val="left" w:pos="360" w:leader="none"/>
        </w:tabs>
        <w:rPr>
          <w:rFonts w:hint="eastAsia" w:ascii="宋体" w:hAnsi="宋体" w:eastAsia="宋体"/>
          <w:sz w:val="24"/>
          <w:highlight w:val="none"/>
          <w:lang w:eastAsia="zh-CN"/>
        </w:rPr>
        <w:outlineLvl w:val="1"/>
      </w:pPr>
      <w:r>
        <w:rPr>
          <w:rFonts w:hint="eastAsia"/>
          <w:sz w:val="24"/>
          <w:highlight w:val="none"/>
        </w:rPr>
        <w:t xml:space="preserve">履约保证金：</w:t>
      </w:r>
      <w:r>
        <w:rPr>
          <w:rFonts w:hint="eastAsia" w:ascii="宋体" w:hAnsi="宋体" w:cs="宋体"/>
          <w:b/>
          <w:bCs/>
          <w:sz w:val="24"/>
          <w:highlight w:val="none"/>
          <w:lang w:val="en-US" w:eastAsia="zh-CN"/>
        </w:rPr>
        <w:t xml:space="preserve">/</w:t>
      </w:r>
      <w:r>
        <w:rPr>
          <w:rFonts w:hint="eastAsia" w:ascii="宋体" w:hAnsi="宋体" w:eastAsia="宋体"/>
          <w:sz w:val="24"/>
          <w:highlight w:val="none"/>
          <w:lang w:eastAsia="zh-CN"/>
        </w:rPr>
      </w:r>
      <w:r/>
    </w:p>
    <w:p>
      <w:pPr>
        <w:pStyle w:val="1070"/>
        <w:spacing w:line="360" w:lineRule="auto"/>
        <w:tabs>
          <w:tab w:val="left" w:pos="360" w:leader="none"/>
        </w:tabs>
        <w:rPr>
          <w:rFonts w:ascii="宋体" w:hAnsi="宋体"/>
          <w:sz w:val="24"/>
        </w:rPr>
        <w:outlineLvl w:val="1"/>
      </w:pPr>
      <w:r>
        <w:rPr>
          <w:rFonts w:hint="eastAsia" w:ascii="宋体" w:hAnsi="宋体"/>
          <w:sz w:val="24"/>
          <w:lang w:eastAsia="zh-CN"/>
        </w:rPr>
        <w:t xml:space="preserve">11.</w:t>
      </w:r>
      <w:r>
        <w:rPr>
          <w:rFonts w:ascii="宋体" w:hAnsi="宋体"/>
          <w:sz w:val="24"/>
        </w:rPr>
        <w:t xml:space="preserve">响应有效期</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11.1</w:t>
      </w:r>
      <w:r>
        <w:rPr>
          <w:rFonts w:ascii="宋体" w:hAnsi="宋体"/>
          <w:sz w:val="24"/>
        </w:rPr>
        <w:t xml:space="preserve">响应文件应在本竞争性磋商文件《供应商须知资料表》中规定的响应有效期内保持有效，响应有效期少于竞争性磋商文件规定期限的，其</w:t>
      </w:r>
      <w:r>
        <w:rPr>
          <w:rFonts w:ascii="宋体" w:hAnsi="宋体"/>
          <w:b/>
          <w:sz w:val="24"/>
        </w:rPr>
        <w:t xml:space="preserve">响应无效</w:t>
      </w:r>
      <w:r>
        <w:rPr>
          <w:rFonts w:ascii="宋体" w:hAnsi="宋体"/>
          <w:sz w:val="24"/>
        </w:rPr>
        <w:t xml:space="preserve">。</w:t>
      </w:r>
      <w:r>
        <w:rPr>
          <w:rFonts w:ascii="宋体" w:hAnsi="宋体"/>
          <w:sz w:val="24"/>
        </w:rPr>
      </w:r>
      <w:r/>
    </w:p>
    <w:p>
      <w:pPr>
        <w:pStyle w:val="1070"/>
        <w:spacing w:line="360" w:lineRule="auto"/>
        <w:tabs>
          <w:tab w:val="left" w:pos="360" w:leader="none"/>
        </w:tabs>
        <w:rPr>
          <w:rFonts w:ascii="宋体" w:hAnsi="宋体"/>
          <w:sz w:val="24"/>
        </w:rPr>
        <w:outlineLvl w:val="1"/>
      </w:pPr>
      <w:r/>
      <w:bookmarkStart w:id="290" w:name="_Toc151193703"/>
      <w:r/>
      <w:bookmarkStart w:id="291" w:name="_Toc226337229"/>
      <w:r/>
      <w:bookmarkStart w:id="292" w:name="_Toc142311035"/>
      <w:r/>
      <w:bookmarkStart w:id="293" w:name="_Toc305158875"/>
      <w:r/>
      <w:bookmarkStart w:id="294" w:name="_Toc127151734"/>
      <w:r/>
      <w:bookmarkStart w:id="295" w:name="_Toc150774738"/>
      <w:r/>
      <w:bookmarkStart w:id="296" w:name="_Toc151193921"/>
      <w:r/>
      <w:bookmarkStart w:id="297" w:name="_Toc149720826"/>
      <w:r/>
      <w:bookmarkStart w:id="298" w:name="_Toc164229374"/>
      <w:r/>
      <w:bookmarkStart w:id="299" w:name="_Toc150480771"/>
      <w:r/>
      <w:bookmarkStart w:id="300" w:name="_Toc151190160"/>
      <w:r/>
      <w:bookmarkStart w:id="301" w:name="_Toc264969223"/>
      <w:r/>
      <w:bookmarkStart w:id="302" w:name="_Toc150774633"/>
      <w:r/>
      <w:bookmarkStart w:id="303" w:name="_Toc226965806"/>
      <w:r/>
      <w:bookmarkStart w:id="304" w:name="_Toc520356158"/>
      <w:r/>
      <w:bookmarkStart w:id="305" w:name="_Toc195842898"/>
      <w:r/>
      <w:bookmarkStart w:id="306" w:name="_Toc164351627"/>
      <w:r/>
      <w:bookmarkStart w:id="307" w:name="_Toc226965723"/>
      <w:r/>
      <w:bookmarkStart w:id="308" w:name="_Toc127151533"/>
      <w:r/>
      <w:bookmarkStart w:id="309" w:name="_Toc305158801"/>
      <w:r/>
      <w:bookmarkStart w:id="310" w:name="_Toc151193631"/>
      <w:r/>
      <w:bookmarkStart w:id="311" w:name="_Toc164229228"/>
      <w:r/>
      <w:bookmarkStart w:id="312" w:name="_Toc151193775"/>
      <w:r/>
      <w:bookmarkStart w:id="313" w:name="_Toc164608802"/>
      <w:r/>
      <w:bookmarkStart w:id="314" w:name="_Toc265228371"/>
      <w:r/>
      <w:bookmarkStart w:id="315" w:name="_Toc150509284"/>
      <w:r/>
      <w:bookmarkStart w:id="316" w:name="_Toc164608647"/>
      <w:r/>
      <w:bookmarkStart w:id="317" w:name="_Toc226309777"/>
      <w:r/>
      <w:bookmarkStart w:id="318" w:name="_Toc151193847"/>
      <w:r/>
      <w:bookmarkStart w:id="319" w:name="_Toc127161447"/>
      <w:r>
        <w:rPr>
          <w:rFonts w:hint="eastAsia" w:ascii="宋体" w:hAnsi="宋体"/>
          <w:sz w:val="24"/>
          <w:lang w:eastAsia="zh-CN"/>
        </w:rPr>
        <w:t xml:space="preserve">12.</w:t>
      </w:r>
      <w:r>
        <w:rPr>
          <w:rFonts w:ascii="宋体" w:hAnsi="宋体"/>
          <w:sz w:val="24"/>
        </w:rPr>
        <w:t xml:space="preserve">响应文件的</w:t>
      </w:r>
      <w:r>
        <w:rPr>
          <w:rFonts w:hint="eastAsia" w:ascii="宋体" w:hAnsi="宋体"/>
          <w:sz w:val="24"/>
        </w:rPr>
        <w:t xml:space="preserve">份数、</w:t>
      </w:r>
      <w:r>
        <w:rPr>
          <w:rFonts w:ascii="宋体" w:hAnsi="宋体"/>
          <w:sz w:val="24"/>
        </w:rPr>
        <w:t xml:space="preserve">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bookmarkStart w:id="320" w:name="_Toc127151534"/>
      <w:r/>
      <w:bookmarkStart w:id="321" w:name="_Toc151193632"/>
      <w:r/>
      <w:bookmarkStart w:id="322" w:name="_Toc520356159"/>
      <w:r/>
      <w:bookmarkStart w:id="323" w:name="_Toc150480772"/>
      <w:r/>
      <w:bookmarkStart w:id="324" w:name="_Toc150509285"/>
      <w:r/>
      <w:bookmarkStart w:id="325" w:name="_Toc226309778"/>
      <w:r/>
      <w:bookmarkStart w:id="326" w:name="_Toc150774739"/>
      <w:r/>
      <w:bookmarkStart w:id="327" w:name="_Toc226965807"/>
      <w:r/>
      <w:bookmarkStart w:id="328" w:name="_Toc151193922"/>
      <w:r/>
      <w:bookmarkStart w:id="329" w:name="_Toc150774634"/>
      <w:r/>
      <w:bookmarkStart w:id="330" w:name="_Toc264969224"/>
      <w:r/>
      <w:bookmarkStart w:id="331" w:name="_Toc142311036"/>
      <w:r/>
      <w:bookmarkStart w:id="332" w:name="_Toc151193848"/>
      <w:r/>
      <w:bookmarkStart w:id="333" w:name="_Toc265228372"/>
      <w:r/>
      <w:bookmarkStart w:id="334" w:name="_Toc195842899"/>
      <w:r/>
      <w:bookmarkStart w:id="335" w:name="_Toc151190161"/>
      <w:r/>
      <w:bookmarkStart w:id="336" w:name="_Toc305158876"/>
      <w:r/>
      <w:bookmarkStart w:id="337" w:name="_Toc226965724"/>
      <w:r/>
      <w:bookmarkStart w:id="338" w:name="_Toc305158802"/>
      <w:r/>
      <w:bookmarkStart w:id="339" w:name="_Toc226337230"/>
      <w:r/>
      <w:bookmarkStart w:id="340" w:name="_Toc151193704"/>
      <w:r/>
      <w:bookmarkStart w:id="341" w:name="_Toc151193776"/>
      <w:r>
        <w:rPr>
          <w:rFonts w:hint="eastAsia" w:ascii="宋体" w:hAnsi="宋体"/>
          <w:sz w:val="24"/>
        </w:rPr>
        <w:t xml:space="preserve">12.1</w:t>
      </w:r>
      <w:r>
        <w:rPr>
          <w:rFonts w:ascii="宋体" w:hAnsi="宋体"/>
          <w:sz w:val="24"/>
        </w:rPr>
        <w:t xml:space="preserve">供应商应严格按照竞争性磋商公告要求准备响应文件</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12.2</w:t>
      </w:r>
      <w:r>
        <w:rPr>
          <w:rFonts w:ascii="宋体" w:hAnsi="宋体"/>
          <w:sz w:val="24"/>
        </w:rPr>
        <w:t xml:space="preserve">响应文件</w:t>
      </w:r>
      <w:r>
        <w:rPr>
          <w:rFonts w:hint="eastAsia" w:ascii="宋体" w:hAnsi="宋体"/>
          <w:sz w:val="24"/>
        </w:rPr>
        <w:t xml:space="preserve">按顺序编制目录索引，且</w:t>
      </w:r>
      <w:r>
        <w:rPr>
          <w:rFonts w:ascii="宋体" w:hAnsi="宋体"/>
          <w:sz w:val="24"/>
        </w:rPr>
        <w:t xml:space="preserve">由供应商法定代表人或其授权代表签字。授权代表为非法定代表人时，须将法定代表人以书面形式出具的“法定代表人授权书”（原件）附在响应文件中。</w:t>
      </w:r>
      <w:r>
        <w:rPr>
          <w:rFonts w:ascii="宋体" w:hAnsi="宋体"/>
          <w:sz w:val="24"/>
        </w:rPr>
      </w:r>
      <w:r/>
    </w:p>
    <w:p>
      <w:pPr>
        <w:pStyle w:val="1070"/>
        <w:ind w:firstLine="480"/>
        <w:spacing w:line="360" w:lineRule="auto"/>
        <w:tabs>
          <w:tab w:val="left" w:pos="1080" w:leader="none"/>
          <w:tab w:val="left" w:pos="1589" w:leader="none"/>
          <w:tab w:val="left" w:pos="2014" w:leader="none"/>
        </w:tabs>
        <w:rPr>
          <w:rFonts w:ascii="宋体" w:hAnsi="宋体"/>
        </w:rPr>
      </w:pPr>
      <w:r>
        <w:rPr>
          <w:rFonts w:hint="eastAsia" w:ascii="宋体" w:hAnsi="宋体"/>
          <w:sz w:val="24"/>
        </w:rPr>
        <w:t xml:space="preserve">12.3</w:t>
      </w:r>
      <w:r>
        <w:rPr>
          <w:rFonts w:ascii="宋体" w:hAnsi="宋体"/>
          <w:sz w:val="24"/>
        </w:rPr>
        <w:t xml:space="preserve">除供应商对错处做必要修改外，响应文件不得行间插字、涂改或增删。如有修改错漏处，必须由响应文件签署人签字或盖章。</w:t>
      </w:r>
      <w:r>
        <w:rPr>
          <w:rFonts w:ascii="宋体" w:hAnsi="宋体"/>
        </w:rPr>
      </w:r>
      <w:r/>
    </w:p>
    <w:p>
      <w:pPr>
        <w:pStyle w:val="1070"/>
        <w:jc w:val="center"/>
        <w:keepLines/>
        <w:keepNext/>
        <w:spacing w:line="360" w:lineRule="auto"/>
        <w:rPr>
          <w:rFonts w:ascii="宋体" w:hAnsi="宋体"/>
          <w:b/>
          <w:sz w:val="28"/>
          <w:szCs w:val="20"/>
        </w:rPr>
        <w:outlineLvl w:val="1"/>
      </w:pPr>
      <w:r>
        <w:rPr>
          <w:rFonts w:ascii="宋体" w:hAnsi="宋体"/>
          <w:b/>
          <w:sz w:val="28"/>
          <w:szCs w:val="20"/>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宋体" w:hAnsi="宋体"/>
          <w:b/>
          <w:sz w:val="28"/>
          <w:szCs w:val="20"/>
        </w:rPr>
      </w:r>
      <w:r/>
    </w:p>
    <w:p>
      <w:pPr>
        <w:pStyle w:val="1070"/>
        <w:jc w:val="left"/>
        <w:spacing w:line="360" w:lineRule="auto"/>
        <w:rPr>
          <w:rFonts w:ascii="宋体"/>
          <w:sz w:val="24"/>
        </w:rPr>
      </w:pPr>
      <w:r>
        <w:rPr>
          <w:rFonts w:hint="eastAsia" w:ascii="宋体"/>
          <w:sz w:val="24"/>
          <w:lang w:eastAsia="zh-CN"/>
        </w:rPr>
        <w:t xml:space="preserve">13.</w:t>
      </w:r>
      <w:r>
        <w:rPr>
          <w:rFonts w:hint="eastAsia" w:ascii="宋体"/>
          <w:sz w:val="24"/>
        </w:rPr>
        <w:t xml:space="preserve">投标文件的提交</w:t>
      </w:r>
      <w:r>
        <w:rPr>
          <w:rFonts w:ascii="宋体"/>
          <w:sz w:val="24"/>
        </w:rPr>
      </w:r>
      <w:r/>
    </w:p>
    <w:p>
      <w:pPr>
        <w:pStyle w:val="1070"/>
        <w:ind w:firstLine="420"/>
        <w:jc w:val="left"/>
        <w:spacing w:line="360" w:lineRule="auto"/>
        <w:rPr>
          <w:rFonts w:ascii="宋体"/>
          <w:sz w:val="24"/>
        </w:rPr>
      </w:pPr>
      <w:r>
        <w:rPr>
          <w:rFonts w:hint="eastAsia" w:ascii="宋体"/>
          <w:sz w:val="24"/>
        </w:rPr>
        <w:t xml:space="preserve">1</w:t>
      </w:r>
      <w:r>
        <w:rPr>
          <w:rFonts w:ascii="宋体"/>
          <w:sz w:val="24"/>
        </w:rPr>
        <w:t xml:space="preserve">3.1</w:t>
      </w:r>
      <w:r>
        <w:rPr>
          <w:rFonts w:hint="eastAsia" w:ascii="宋体"/>
          <w:sz w:val="24"/>
        </w:rPr>
        <w:t xml:space="preserve">本项目使用“苏采云”政府采购一体化平台。投标人根据招标文件及“苏采云”政府采购一体化平台供应商操作手册要求编制、生成并提交电子投标文件。</w:t>
      </w:r>
      <w:r>
        <w:rPr>
          <w:rFonts w:ascii="宋体"/>
          <w:sz w:val="24"/>
        </w:rPr>
      </w:r>
      <w:r/>
    </w:p>
    <w:p>
      <w:pPr>
        <w:pStyle w:val="1070"/>
        <w:ind w:firstLine="420"/>
        <w:jc w:val="left"/>
        <w:spacing w:line="360" w:lineRule="auto"/>
        <w:rPr>
          <w:rFonts w:ascii="宋体"/>
          <w:sz w:val="24"/>
        </w:rPr>
      </w:pPr>
      <w:r>
        <w:rPr>
          <w:rFonts w:hint="eastAsia" w:ascii="宋体"/>
          <w:sz w:val="24"/>
        </w:rPr>
        <w:t xml:space="preserve">1</w:t>
      </w:r>
      <w:r>
        <w:rPr>
          <w:rFonts w:ascii="宋体"/>
          <w:sz w:val="24"/>
        </w:rPr>
        <w:t xml:space="preserve">3.2</w:t>
      </w:r>
      <w:r>
        <w:rPr>
          <w:rFonts w:hint="eastAsia" w:ascii="宋体"/>
          <w:sz w:val="24"/>
        </w:rPr>
        <w:t xml:space="preserve">采购人及采购代理机构拒绝接受通过</w:t>
      </w:r>
      <w:r>
        <w:rPr>
          <w:rFonts w:hint="eastAsia" w:ascii="宋体"/>
          <w:b/>
          <w:bCs/>
          <w:sz w:val="24"/>
        </w:rPr>
        <w:t xml:space="preserve">“苏采云”政府采购一体化平台</w:t>
      </w:r>
      <w:r>
        <w:rPr>
          <w:rFonts w:hint="eastAsia" w:ascii="宋体"/>
          <w:sz w:val="24"/>
        </w:rPr>
        <w:t xml:space="preserve">以外任何形式提交的投标文件。</w:t>
      </w:r>
      <w:r>
        <w:rPr>
          <w:rFonts w:ascii="宋体"/>
          <w:sz w:val="24"/>
        </w:rPr>
      </w:r>
      <w:r/>
    </w:p>
    <w:p>
      <w:pPr>
        <w:pStyle w:val="1070"/>
        <w:jc w:val="left"/>
        <w:spacing w:line="360" w:lineRule="auto"/>
        <w:rPr>
          <w:rFonts w:ascii="宋体"/>
          <w:sz w:val="24"/>
        </w:rPr>
      </w:pPr>
      <w:r>
        <w:rPr>
          <w:rFonts w:hint="eastAsia" w:ascii="宋体"/>
          <w:sz w:val="24"/>
          <w:lang w:eastAsia="zh-CN"/>
        </w:rPr>
        <w:t xml:space="preserve">14.</w:t>
      </w:r>
      <w:r>
        <w:rPr>
          <w:rFonts w:hint="eastAsia" w:ascii="宋体"/>
          <w:sz w:val="24"/>
        </w:rPr>
        <w:t xml:space="preserve">投标截止时间</w:t>
      </w:r>
      <w:r>
        <w:rPr>
          <w:rFonts w:ascii="宋体"/>
          <w:sz w:val="24"/>
        </w:rPr>
      </w:r>
      <w:r/>
    </w:p>
    <w:p>
      <w:pPr>
        <w:pStyle w:val="1070"/>
        <w:ind w:firstLine="420"/>
        <w:jc w:val="left"/>
        <w:spacing w:line="360" w:lineRule="auto"/>
        <w:rPr>
          <w:rFonts w:ascii="宋体"/>
          <w:sz w:val="24"/>
        </w:rPr>
      </w:pPr>
      <w:r>
        <w:rPr>
          <w:rFonts w:hint="eastAsia" w:ascii="宋体"/>
          <w:sz w:val="24"/>
        </w:rPr>
        <w:t xml:space="preserve">1</w:t>
      </w:r>
      <w:r>
        <w:rPr>
          <w:rFonts w:ascii="宋体"/>
          <w:sz w:val="24"/>
        </w:rPr>
        <w:t xml:space="preserve">4.1</w:t>
      </w:r>
      <w:r>
        <w:rPr>
          <w:rFonts w:hint="eastAsia" w:ascii="宋体"/>
          <w:sz w:val="24"/>
        </w:rPr>
        <w:t xml:space="preserve">投标人应在招标文件要求提交投标文件截止时间前，将电子投标文件提交至“苏采云”政府采购一体化平台。</w:t>
      </w:r>
      <w:r>
        <w:rPr>
          <w:rFonts w:ascii="宋体"/>
          <w:sz w:val="24"/>
        </w:rPr>
      </w:r>
      <w:r/>
    </w:p>
    <w:p>
      <w:pPr>
        <w:pStyle w:val="1070"/>
        <w:jc w:val="left"/>
        <w:spacing w:line="360" w:lineRule="auto"/>
        <w:rPr>
          <w:rFonts w:ascii="宋体"/>
          <w:sz w:val="24"/>
        </w:rPr>
      </w:pPr>
      <w:r>
        <w:rPr>
          <w:rFonts w:hint="eastAsia" w:ascii="宋体"/>
          <w:sz w:val="24"/>
          <w:lang w:eastAsia="zh-CN"/>
        </w:rPr>
        <w:t xml:space="preserve">15.</w:t>
      </w:r>
      <w:r>
        <w:rPr>
          <w:rFonts w:hint="eastAsia" w:ascii="宋体"/>
          <w:sz w:val="24"/>
        </w:rPr>
        <w:t xml:space="preserve">投标文件的修改与撤回</w:t>
      </w:r>
      <w:r>
        <w:rPr>
          <w:rFonts w:ascii="宋体"/>
          <w:sz w:val="24"/>
        </w:rPr>
      </w:r>
      <w:r/>
    </w:p>
    <w:p>
      <w:pPr>
        <w:pStyle w:val="1070"/>
        <w:ind w:firstLine="420"/>
        <w:jc w:val="left"/>
        <w:spacing w:line="360" w:lineRule="auto"/>
        <w:rPr>
          <w:rFonts w:ascii="宋体"/>
          <w:sz w:val="24"/>
        </w:rPr>
      </w:pPr>
      <w:r>
        <w:rPr>
          <w:rFonts w:hint="eastAsia" w:ascii="宋体"/>
          <w:sz w:val="24"/>
        </w:rPr>
        <w:t xml:space="preserve">1</w:t>
      </w:r>
      <w:r>
        <w:rPr>
          <w:rFonts w:ascii="宋体"/>
          <w:sz w:val="24"/>
        </w:rPr>
        <w:t xml:space="preserve">5.1</w:t>
      </w:r>
      <w:r>
        <w:rPr>
          <w:rFonts w:hint="eastAsia" w:ascii="宋体"/>
          <w:sz w:val="24"/>
        </w:rPr>
        <w:t xml:space="preserve">投标截止时间前，投标人可以通过</w:t>
      </w:r>
      <w:r>
        <w:rPr>
          <w:rFonts w:hint="eastAsia" w:ascii="宋体"/>
          <w:b/>
          <w:bCs/>
          <w:sz w:val="24"/>
        </w:rPr>
        <w:t xml:space="preserve">“苏采云”政府采购一体化平台</w:t>
      </w:r>
      <w:r>
        <w:rPr>
          <w:rFonts w:hint="eastAsia" w:ascii="宋体"/>
          <w:sz w:val="24"/>
        </w:rPr>
        <w:t xml:space="preserve">对所提交的投标文件进行补充、修改或者撤回。</w:t>
      </w:r>
      <w:r>
        <w:rPr>
          <w:rFonts w:ascii="宋体"/>
          <w:sz w:val="24"/>
        </w:rPr>
      </w:r>
      <w:r/>
    </w:p>
    <w:p>
      <w:pPr>
        <w:pStyle w:val="1070"/>
        <w:ind w:firstLine="420"/>
        <w:jc w:val="left"/>
        <w:spacing w:line="360" w:lineRule="auto"/>
        <w:rPr>
          <w:rFonts w:ascii="宋体"/>
          <w:sz w:val="24"/>
        </w:rPr>
      </w:pPr>
      <w:r>
        <w:rPr>
          <w:rFonts w:hint="eastAsia" w:ascii="宋体"/>
          <w:sz w:val="24"/>
        </w:rPr>
        <w:t xml:space="preserve">1</w:t>
      </w:r>
      <w:r>
        <w:rPr>
          <w:rFonts w:ascii="宋体"/>
          <w:sz w:val="24"/>
        </w:rPr>
        <w:t xml:space="preserve">5.2</w:t>
      </w:r>
      <w:r>
        <w:rPr>
          <w:rFonts w:hint="eastAsia" w:ascii="宋体"/>
          <w:sz w:val="24"/>
        </w:rPr>
        <w:t xml:space="preserve">投标人对投标文件的补充、修改的内容应当按照招标文件要求签署、加盖公章，作为投标文件的组成部分</w:t>
      </w:r>
      <w:r>
        <w:rPr>
          <w:rFonts w:ascii="宋体"/>
          <w:sz w:val="24"/>
        </w:rPr>
      </w:r>
      <w:r/>
    </w:p>
    <w:p>
      <w:pPr>
        <w:pStyle w:val="1070"/>
        <w:jc w:val="center"/>
        <w:keepLines/>
        <w:keepNext/>
        <w:spacing w:line="360" w:lineRule="auto"/>
        <w:rPr>
          <w:rFonts w:ascii="宋体" w:hAnsi="宋体"/>
          <w:b/>
          <w:sz w:val="24"/>
        </w:rPr>
        <w:outlineLvl w:val="1"/>
      </w:pPr>
      <w:r/>
      <w:bookmarkStart w:id="342" w:name="_Toc226965728"/>
      <w:r/>
      <w:bookmarkStart w:id="343" w:name="_Toc305158880"/>
      <w:r/>
      <w:bookmarkStart w:id="344" w:name="_Toc226965811"/>
      <w:r/>
      <w:bookmarkStart w:id="345" w:name="_Toc150480776"/>
      <w:r/>
      <w:bookmarkStart w:id="346" w:name="_Toc151193636"/>
      <w:r/>
      <w:bookmarkStart w:id="347" w:name="_Toc150774638"/>
      <w:r/>
      <w:bookmarkStart w:id="348" w:name="_Toc226337234"/>
      <w:r/>
      <w:bookmarkStart w:id="349" w:name="_Toc305158806"/>
      <w:r/>
      <w:bookmarkStart w:id="350" w:name="_Toc127151538"/>
      <w:r/>
      <w:bookmarkStart w:id="351" w:name="_Toc151193780"/>
      <w:r/>
      <w:bookmarkStart w:id="352" w:name="_Toc142311040"/>
      <w:r/>
      <w:bookmarkStart w:id="353" w:name="_Toc195842903"/>
      <w:r/>
      <w:bookmarkStart w:id="354" w:name="_Toc151193708"/>
      <w:r/>
      <w:bookmarkStart w:id="355" w:name="_Toc151190165"/>
      <w:r/>
      <w:bookmarkStart w:id="356" w:name="_Toc150774743"/>
      <w:r/>
      <w:bookmarkStart w:id="357" w:name="_Toc265228376"/>
      <w:r/>
      <w:bookmarkStart w:id="358" w:name="_Toc151193926"/>
      <w:r/>
      <w:bookmarkStart w:id="359" w:name="_Toc150509289"/>
      <w:r/>
      <w:bookmarkStart w:id="360" w:name="_Toc226309782"/>
      <w:r/>
      <w:bookmarkStart w:id="361" w:name="_Toc151193852"/>
      <w:r/>
      <w:bookmarkStart w:id="362" w:name="_Toc264969228"/>
      <w:r/>
      <w:bookmarkStart w:id="363" w:name="_Toc520356163"/>
      <w:r>
        <w:rPr>
          <w:rFonts w:ascii="宋体" w:hAnsi="宋体"/>
          <w:b/>
          <w:sz w:val="24"/>
        </w:rPr>
        <w:t xml:space="preserve">五   </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b/>
          <w:sz w:val="24"/>
        </w:rPr>
        <w:t xml:space="preserve">开标、资格审查及评标</w:t>
      </w:r>
      <w:r>
        <w:rPr>
          <w:rFonts w:ascii="宋体" w:hAnsi="宋体"/>
          <w:b/>
          <w:sz w:val="24"/>
        </w:rPr>
      </w:r>
      <w:r/>
    </w:p>
    <w:p>
      <w:pPr>
        <w:pStyle w:val="1070"/>
        <w:jc w:val="left"/>
        <w:spacing w:line="360" w:lineRule="auto"/>
        <w:rPr>
          <w:rFonts w:ascii="宋体"/>
          <w:sz w:val="24"/>
        </w:rPr>
      </w:pPr>
      <w:r>
        <w:rPr>
          <w:rFonts w:hint="eastAsia" w:ascii="宋体"/>
          <w:sz w:val="24"/>
          <w:lang w:eastAsia="zh-CN"/>
        </w:rPr>
        <w:t xml:space="preserve">16.</w:t>
      </w:r>
      <w:r>
        <w:rPr>
          <w:rFonts w:hint="eastAsia" w:ascii="宋体"/>
          <w:sz w:val="24"/>
        </w:rPr>
        <w:t xml:space="preserve">开标</w:t>
      </w:r>
      <w:r>
        <w:rPr>
          <w:rFonts w:ascii="宋体"/>
          <w:sz w:val="24"/>
        </w:rPr>
      </w:r>
      <w:r/>
    </w:p>
    <w:p>
      <w:pPr>
        <w:pStyle w:val="1070"/>
        <w:ind w:firstLine="420"/>
        <w:jc w:val="left"/>
        <w:spacing w:line="360" w:lineRule="auto"/>
        <w:rPr>
          <w:rFonts w:ascii="宋体"/>
          <w:sz w:val="24"/>
        </w:rPr>
      </w:pPr>
      <w:r>
        <w:rPr>
          <w:rFonts w:hint="eastAsia" w:ascii="宋体"/>
          <w:sz w:val="24"/>
        </w:rPr>
        <w:t xml:space="preserve">1</w:t>
      </w:r>
      <w:r>
        <w:rPr>
          <w:rFonts w:ascii="宋体"/>
          <w:sz w:val="24"/>
        </w:rPr>
        <w:t xml:space="preserve">6.1</w:t>
      </w:r>
      <w:r>
        <w:rPr>
          <w:rFonts w:hint="eastAsia" w:ascii="宋体"/>
          <w:sz w:val="24"/>
        </w:rPr>
        <w:t xml:space="preserve">采购人或采购代理机构将按照招标文件的规定，在投标截止时间的同一时间和招标文件预先确定的地点组织开标。</w:t>
      </w:r>
      <w:r>
        <w:rPr>
          <w:rFonts w:ascii="宋体"/>
          <w:sz w:val="24"/>
        </w:rPr>
      </w:r>
      <w:r/>
    </w:p>
    <w:p>
      <w:pPr>
        <w:pStyle w:val="1070"/>
        <w:ind w:firstLine="420"/>
        <w:jc w:val="left"/>
        <w:spacing w:line="360" w:lineRule="auto"/>
        <w:rPr>
          <w:rFonts w:ascii="宋体"/>
          <w:sz w:val="24"/>
        </w:rPr>
      </w:pPr>
      <w:r>
        <w:rPr>
          <w:rFonts w:ascii="宋体"/>
          <w:sz w:val="24"/>
        </w:rPr>
        <w:t xml:space="preserve">16.2</w:t>
      </w:r>
      <w:r>
        <w:rPr>
          <w:rFonts w:hint="eastAsia" w:ascii="宋体"/>
          <w:sz w:val="24"/>
        </w:rPr>
        <w:t xml:space="preserve">本项目开标采用不见面招投标模式，使用“苏采云”政府采购一体化平台在线进行开标。投标人应在规定的时间内对投标文件进行解密，因非系统原因导致的解密失败，视为投标无效。</w:t>
      </w:r>
      <w:r>
        <w:rPr>
          <w:rFonts w:ascii="宋体"/>
          <w:sz w:val="24"/>
        </w:rPr>
      </w:r>
      <w:r/>
    </w:p>
    <w:p>
      <w:pPr>
        <w:pStyle w:val="1070"/>
        <w:ind w:firstLine="420"/>
        <w:jc w:val="left"/>
        <w:spacing w:line="360" w:lineRule="auto"/>
        <w:rPr>
          <w:rFonts w:ascii="宋体"/>
          <w:sz w:val="24"/>
        </w:rPr>
      </w:pPr>
      <w:r>
        <w:rPr>
          <w:rFonts w:hint="eastAsia" w:ascii="宋体"/>
          <w:sz w:val="24"/>
        </w:rPr>
        <w:t xml:space="preserve">1</w:t>
      </w:r>
      <w:r>
        <w:rPr>
          <w:rFonts w:ascii="宋体"/>
          <w:sz w:val="24"/>
        </w:rPr>
        <w:t xml:space="preserve">6.3</w:t>
      </w:r>
      <w:r>
        <w:rPr>
          <w:rFonts w:hint="eastAsia" w:ascii="宋体"/>
          <w:sz w:val="24"/>
        </w:rPr>
        <w:t xml:space="preserve">开标过程将使用“苏采云”政府采购一体化平台公布投标人名称、投标价格和招标文件规定的需要宣布的其他内容并进行记录，并由参加开标的各投标人代表在规定时间内确认。投标人超过规定时间未确认但未提出疑义的，系统将视同已确认。</w:t>
      </w:r>
      <w:r>
        <w:rPr>
          <w:rFonts w:ascii="宋体"/>
          <w:sz w:val="24"/>
        </w:rPr>
      </w:r>
      <w:r/>
    </w:p>
    <w:p>
      <w:pPr>
        <w:pStyle w:val="1070"/>
        <w:ind w:firstLine="420"/>
        <w:jc w:val="left"/>
        <w:spacing w:line="360" w:lineRule="auto"/>
        <w:rPr>
          <w:rFonts w:ascii="宋体"/>
          <w:sz w:val="24"/>
        </w:rPr>
      </w:pPr>
      <w:r>
        <w:rPr>
          <w:rFonts w:hint="eastAsia" w:ascii="宋体"/>
          <w:sz w:val="24"/>
        </w:rPr>
        <w:t xml:space="preserve">1</w:t>
      </w:r>
      <w:r>
        <w:rPr>
          <w:rFonts w:ascii="宋体"/>
          <w:sz w:val="24"/>
        </w:rPr>
        <w:t xml:space="preserve">6.4</w:t>
      </w:r>
      <w:r>
        <w:rPr>
          <w:rFonts w:hint="eastAsia" w:ascii="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ascii="宋体"/>
          <w:sz w:val="24"/>
        </w:rPr>
      </w:r>
      <w:r/>
    </w:p>
    <w:p>
      <w:pPr>
        <w:pStyle w:val="1070"/>
        <w:ind w:firstLine="420"/>
        <w:jc w:val="left"/>
        <w:spacing w:line="360" w:lineRule="auto"/>
        <w:rPr>
          <w:rFonts w:ascii="宋体"/>
          <w:sz w:val="24"/>
        </w:rPr>
      </w:pPr>
      <w:r>
        <w:rPr>
          <w:rFonts w:hint="eastAsia" w:ascii="宋体"/>
          <w:sz w:val="24"/>
        </w:rPr>
        <w:t xml:space="preserve">1</w:t>
      </w:r>
      <w:r>
        <w:rPr>
          <w:rFonts w:ascii="宋体"/>
          <w:sz w:val="24"/>
        </w:rPr>
        <w:t xml:space="preserve">6.5</w:t>
      </w:r>
      <w:r>
        <w:rPr>
          <w:rFonts w:hint="eastAsia" w:ascii="宋体"/>
          <w:sz w:val="24"/>
        </w:rPr>
        <w:t xml:space="preserve">投标人不足3家的，不予开标。</w:t>
      </w:r>
      <w:r>
        <w:rPr>
          <w:rFonts w:ascii="宋体"/>
          <w:sz w:val="24"/>
        </w:rPr>
      </w:r>
      <w:r/>
    </w:p>
    <w:p>
      <w:pPr>
        <w:pStyle w:val="1070"/>
        <w:ind w:firstLine="420"/>
        <w:jc w:val="left"/>
        <w:spacing w:line="360" w:lineRule="auto"/>
        <w:rPr>
          <w:rFonts w:ascii="宋体"/>
          <w:sz w:val="24"/>
        </w:rPr>
      </w:pPr>
      <w:r>
        <w:rPr>
          <w:rFonts w:ascii="宋体"/>
          <w:sz w:val="24"/>
        </w:rPr>
        <w:t xml:space="preserve">16.6</w:t>
      </w:r>
      <w:r>
        <w:rPr>
          <w:rFonts w:hint="eastAsia" w:ascii="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sz w:val="24"/>
        </w:rPr>
      </w:r>
      <w:r/>
    </w:p>
    <w:p>
      <w:pPr>
        <w:pStyle w:val="1070"/>
        <w:ind w:firstLine="420"/>
        <w:jc w:val="left"/>
        <w:spacing w:line="360" w:lineRule="auto"/>
        <w:rPr>
          <w:rFonts w:ascii="宋体"/>
          <w:sz w:val="24"/>
        </w:rPr>
      </w:pPr>
      <w:r>
        <w:rPr>
          <w:rFonts w:hint="eastAsia" w:ascii="宋体"/>
          <w:sz w:val="24"/>
        </w:rPr>
        <w:t xml:space="preserve">1</w:t>
      </w:r>
      <w:r>
        <w:rPr>
          <w:rFonts w:ascii="宋体"/>
          <w:sz w:val="24"/>
        </w:rPr>
        <w:t xml:space="preserve">6.7</w:t>
      </w:r>
      <w:r>
        <w:rPr>
          <w:rFonts w:hint="eastAsia" w:ascii="宋体"/>
          <w:sz w:val="24"/>
        </w:rPr>
        <w:t xml:space="preserve">因本项目采用不见面交易的方式，在开标、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投标人承担。</w:t>
      </w:r>
      <w:r>
        <w:rPr>
          <w:rFonts w:ascii="宋体"/>
          <w:sz w:val="24"/>
        </w:rPr>
      </w:r>
      <w:r/>
    </w:p>
    <w:p>
      <w:pPr>
        <w:pStyle w:val="1070"/>
        <w:ind w:firstLine="420"/>
        <w:jc w:val="left"/>
        <w:spacing w:line="360" w:lineRule="auto"/>
        <w:rPr>
          <w:rFonts w:ascii="宋体"/>
          <w:sz w:val="24"/>
        </w:rPr>
      </w:pPr>
      <w:r>
        <w:rPr>
          <w:rFonts w:hint="eastAsia" w:ascii="宋体"/>
          <w:sz w:val="24"/>
        </w:rPr>
        <w:t xml:space="preserve">1</w:t>
      </w:r>
      <w:r>
        <w:rPr>
          <w:rFonts w:ascii="宋体"/>
          <w:sz w:val="24"/>
        </w:rPr>
        <w:t xml:space="preserve">6.8</w:t>
      </w:r>
      <w:r>
        <w:rPr>
          <w:rFonts w:hint="eastAsia" w:ascii="宋体"/>
          <w:sz w:val="24"/>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ascii="宋体"/>
          <w:sz w:val="24"/>
        </w:rPr>
      </w:r>
      <w:r/>
    </w:p>
    <w:p>
      <w:pPr>
        <w:pStyle w:val="1070"/>
        <w:ind w:firstLine="480"/>
        <w:jc w:val="left"/>
        <w:spacing w:line="360" w:lineRule="auto"/>
        <w:rPr>
          <w:rFonts w:ascii="宋体"/>
          <w:sz w:val="24"/>
        </w:rPr>
      </w:pPr>
      <w:r>
        <w:rPr>
          <w:rFonts w:ascii="宋体"/>
          <w:sz w:val="24"/>
        </w:rPr>
        <w:t xml:space="preserve">1.</w:t>
      </w:r>
      <w:r>
        <w:rPr>
          <w:rFonts w:hint="eastAsia" w:ascii="宋体"/>
          <w:sz w:val="24"/>
        </w:rPr>
        <w:t xml:space="preserve">平台系统发生故障而无法登录访问的；</w:t>
      </w:r>
      <w:r>
        <w:rPr>
          <w:rFonts w:ascii="宋体"/>
          <w:sz w:val="24"/>
        </w:rPr>
      </w:r>
      <w:r/>
    </w:p>
    <w:p>
      <w:pPr>
        <w:pStyle w:val="1070"/>
        <w:ind w:firstLine="480"/>
        <w:jc w:val="left"/>
        <w:spacing w:line="360" w:lineRule="auto"/>
        <w:rPr>
          <w:rFonts w:ascii="宋体"/>
          <w:sz w:val="24"/>
        </w:rPr>
      </w:pPr>
      <w:r>
        <w:rPr>
          <w:rFonts w:hint="eastAsia" w:ascii="宋体"/>
          <w:sz w:val="24"/>
        </w:rPr>
        <w:t xml:space="preserve">2.平台系统应用或数据库出现错误，不能进行正常操作的；</w:t>
      </w:r>
      <w:r>
        <w:rPr>
          <w:rFonts w:ascii="宋体"/>
          <w:sz w:val="24"/>
        </w:rPr>
      </w:r>
      <w:r/>
    </w:p>
    <w:p>
      <w:pPr>
        <w:pStyle w:val="1070"/>
        <w:ind w:firstLine="480"/>
        <w:jc w:val="left"/>
        <w:spacing w:line="360" w:lineRule="auto"/>
        <w:rPr>
          <w:rFonts w:ascii="宋体"/>
          <w:sz w:val="24"/>
        </w:rPr>
      </w:pPr>
      <w:r>
        <w:rPr>
          <w:rFonts w:hint="eastAsia" w:ascii="宋体"/>
          <w:sz w:val="24"/>
        </w:rPr>
        <w:t xml:space="preserve">3.平台系统发现严重安全漏洞，有潜在泄密危险的；</w:t>
      </w:r>
      <w:r>
        <w:rPr>
          <w:rFonts w:ascii="宋体"/>
          <w:sz w:val="24"/>
        </w:rPr>
      </w:r>
      <w:r/>
    </w:p>
    <w:p>
      <w:pPr>
        <w:pStyle w:val="1070"/>
        <w:ind w:firstLine="480"/>
        <w:jc w:val="left"/>
        <w:spacing w:line="360" w:lineRule="auto"/>
        <w:rPr>
          <w:rFonts w:ascii="宋体"/>
          <w:sz w:val="24"/>
        </w:rPr>
      </w:pPr>
      <w:r>
        <w:rPr>
          <w:rFonts w:hint="eastAsia" w:ascii="宋体"/>
          <w:sz w:val="24"/>
        </w:rPr>
        <w:t xml:space="preserve">4.病毒发作导致平台系统不能进行正常操作的；</w:t>
      </w:r>
      <w:r>
        <w:rPr>
          <w:rFonts w:ascii="宋体"/>
          <w:sz w:val="24"/>
        </w:rPr>
      </w:r>
      <w:r/>
    </w:p>
    <w:p>
      <w:pPr>
        <w:pStyle w:val="1070"/>
        <w:ind w:firstLine="480"/>
        <w:jc w:val="left"/>
        <w:spacing w:line="360" w:lineRule="auto"/>
        <w:rPr>
          <w:rFonts w:ascii="宋体"/>
          <w:sz w:val="24"/>
        </w:rPr>
      </w:pPr>
      <w:r>
        <w:rPr>
          <w:rFonts w:hint="eastAsia" w:ascii="宋体"/>
          <w:sz w:val="24"/>
        </w:rPr>
        <w:t xml:space="preserve">5.其他无法保证本次采购活动的公平、公正和安全的情况。</w:t>
      </w:r>
      <w:r>
        <w:rPr>
          <w:rFonts w:ascii="宋体"/>
          <w:sz w:val="24"/>
        </w:rPr>
      </w:r>
      <w:r/>
    </w:p>
    <w:p>
      <w:pPr>
        <w:pStyle w:val="1070"/>
        <w:ind w:firstLine="420"/>
        <w:jc w:val="left"/>
        <w:spacing w:line="360" w:lineRule="auto"/>
        <w:rPr>
          <w:rFonts w:ascii="宋体"/>
          <w:sz w:val="24"/>
        </w:rPr>
      </w:pPr>
      <w:r>
        <w:rPr>
          <w:rFonts w:hint="eastAsia" w:ascii="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sz w:val="24"/>
        </w:rPr>
      </w:r>
      <w:r/>
    </w:p>
    <w:p>
      <w:pPr>
        <w:pStyle w:val="1070"/>
        <w:jc w:val="left"/>
        <w:spacing w:line="360" w:lineRule="auto"/>
        <w:rPr>
          <w:rFonts w:ascii="宋体"/>
          <w:sz w:val="24"/>
        </w:rPr>
      </w:pPr>
      <w:r>
        <w:rPr>
          <w:rFonts w:hint="eastAsia" w:ascii="宋体"/>
          <w:sz w:val="24"/>
          <w:lang w:eastAsia="zh-CN"/>
        </w:rPr>
        <w:t xml:space="preserve">17.</w:t>
      </w:r>
      <w:r>
        <w:rPr>
          <w:rFonts w:hint="eastAsia" w:ascii="宋体"/>
          <w:sz w:val="24"/>
        </w:rPr>
        <w:t xml:space="preserve">资格审查</w:t>
      </w:r>
      <w:r>
        <w:rPr>
          <w:rFonts w:ascii="宋体"/>
          <w:sz w:val="24"/>
        </w:rPr>
      </w:r>
      <w:r/>
    </w:p>
    <w:p>
      <w:pPr>
        <w:pStyle w:val="1070"/>
        <w:ind w:firstLine="420"/>
        <w:jc w:val="left"/>
        <w:spacing w:line="360" w:lineRule="auto"/>
        <w:rPr>
          <w:rFonts w:ascii="宋体"/>
          <w:sz w:val="24"/>
        </w:rPr>
      </w:pPr>
      <w:r>
        <w:rPr>
          <w:rFonts w:hint="eastAsia" w:ascii="宋体"/>
          <w:sz w:val="24"/>
        </w:rPr>
        <w:t xml:space="preserve">1</w:t>
      </w:r>
      <w:r>
        <w:rPr>
          <w:rFonts w:ascii="宋体"/>
          <w:sz w:val="24"/>
        </w:rPr>
        <w:t xml:space="preserve">7.1</w:t>
      </w:r>
      <w:r>
        <w:rPr>
          <w:rFonts w:hint="eastAsia" w:ascii="宋体"/>
          <w:sz w:val="24"/>
        </w:rPr>
        <w:t xml:space="preserve">见第三章《资格审查》。</w:t>
      </w:r>
      <w:r>
        <w:rPr>
          <w:rFonts w:ascii="宋体"/>
          <w:sz w:val="24"/>
        </w:rPr>
      </w:r>
      <w:r/>
    </w:p>
    <w:p>
      <w:pPr>
        <w:pStyle w:val="1070"/>
        <w:jc w:val="left"/>
        <w:spacing w:line="360" w:lineRule="auto"/>
        <w:rPr>
          <w:rFonts w:ascii="宋体"/>
          <w:sz w:val="24"/>
        </w:rPr>
      </w:pPr>
      <w:r>
        <w:rPr>
          <w:rFonts w:hint="eastAsia" w:ascii="宋体"/>
          <w:sz w:val="24"/>
          <w:lang w:eastAsia="zh-CN"/>
        </w:rPr>
        <w:t xml:space="preserve">18.</w:t>
      </w:r>
      <w:r>
        <w:rPr>
          <w:rFonts w:hint="eastAsia" w:ascii="宋体"/>
          <w:sz w:val="24"/>
        </w:rPr>
        <w:t xml:space="preserve">评标委员会</w:t>
      </w:r>
      <w:r>
        <w:rPr>
          <w:rFonts w:ascii="宋体"/>
          <w:sz w:val="24"/>
        </w:rPr>
      </w:r>
      <w:r/>
    </w:p>
    <w:p>
      <w:pPr>
        <w:pStyle w:val="1070"/>
        <w:ind w:firstLine="420"/>
        <w:jc w:val="left"/>
        <w:spacing w:line="360" w:lineRule="auto"/>
        <w:rPr>
          <w:rFonts w:ascii="宋体"/>
          <w:sz w:val="24"/>
        </w:rPr>
      </w:pPr>
      <w:r>
        <w:rPr>
          <w:rFonts w:hint="eastAsia" w:ascii="宋体"/>
          <w:sz w:val="24"/>
        </w:rPr>
        <w:t xml:space="preserve">1</w:t>
      </w:r>
      <w:r>
        <w:rPr>
          <w:rFonts w:ascii="宋体"/>
          <w:sz w:val="24"/>
        </w:rPr>
        <w:t xml:space="preserve">8.1</w:t>
      </w:r>
      <w:r>
        <w:rPr>
          <w:rFonts w:hint="eastAsia" w:ascii="宋体"/>
          <w:sz w:val="24"/>
        </w:rPr>
        <w:t xml:space="preserve">评标委员会根据政府采购有关规定和本次招标采购项目的特点进行组建，并负责具体评标事务，独立履行职责。</w:t>
      </w:r>
      <w:r>
        <w:rPr>
          <w:rFonts w:ascii="宋体"/>
          <w:sz w:val="24"/>
        </w:rPr>
      </w:r>
      <w:r/>
    </w:p>
    <w:p>
      <w:pPr>
        <w:pStyle w:val="1070"/>
        <w:ind w:firstLine="420"/>
        <w:jc w:val="left"/>
        <w:spacing w:line="360" w:lineRule="auto"/>
        <w:rPr>
          <w:rFonts w:ascii="宋体"/>
          <w:sz w:val="24"/>
        </w:rPr>
      </w:pPr>
      <w:r>
        <w:rPr>
          <w:rFonts w:ascii="宋体"/>
          <w:sz w:val="24"/>
        </w:rPr>
        <w:t xml:space="preserve">18.2</w:t>
      </w:r>
      <w:r>
        <w:rPr>
          <w:rFonts w:hint="eastAsia" w:ascii="宋体"/>
          <w:sz w:val="24"/>
        </w:rPr>
        <w:t xml:space="preserve">评审专家须符合相关规定。依法自行选定评审专家的，采购人和采购代理机构将查询有关信用记录，对具有行贿、受贿、欺诈等不良信用记录的人员，拒绝其参与政府采购活动。</w:t>
      </w:r>
      <w:r>
        <w:rPr>
          <w:rFonts w:ascii="宋体"/>
          <w:sz w:val="24"/>
        </w:rPr>
      </w:r>
      <w:r/>
    </w:p>
    <w:p>
      <w:pPr>
        <w:pStyle w:val="1070"/>
        <w:jc w:val="left"/>
        <w:spacing w:line="360" w:lineRule="auto"/>
        <w:rPr>
          <w:rFonts w:ascii="宋体"/>
          <w:sz w:val="24"/>
        </w:rPr>
      </w:pPr>
      <w:r>
        <w:rPr>
          <w:rFonts w:hint="eastAsia" w:ascii="宋体"/>
          <w:sz w:val="24"/>
          <w:lang w:eastAsia="zh-CN"/>
        </w:rPr>
        <w:t xml:space="preserve">19.</w:t>
      </w:r>
      <w:r>
        <w:rPr>
          <w:rFonts w:hint="eastAsia" w:ascii="宋体"/>
          <w:sz w:val="24"/>
        </w:rPr>
        <w:t xml:space="preserve">评标程序、评标方法和评标标准</w:t>
      </w:r>
      <w:r>
        <w:rPr>
          <w:rFonts w:ascii="宋体"/>
          <w:sz w:val="24"/>
        </w:rPr>
      </w:r>
      <w:r/>
    </w:p>
    <w:p>
      <w:pPr>
        <w:pStyle w:val="1070"/>
        <w:ind w:firstLine="420"/>
        <w:jc w:val="left"/>
        <w:spacing w:line="360" w:lineRule="auto"/>
        <w:rPr>
          <w:rFonts w:ascii="宋体"/>
          <w:sz w:val="24"/>
        </w:rPr>
      </w:pPr>
      <w:r>
        <w:rPr>
          <w:rFonts w:ascii="宋体"/>
          <w:sz w:val="24"/>
        </w:rPr>
        <w:t xml:space="preserve">19.1</w:t>
      </w:r>
      <w:r>
        <w:rPr>
          <w:rFonts w:hint="eastAsia" w:ascii="宋体"/>
          <w:sz w:val="24"/>
        </w:rPr>
        <w:t xml:space="preserve">见第三章《评标程序、评标方法和评标标准》。</w:t>
      </w:r>
      <w:r>
        <w:rPr>
          <w:rFonts w:ascii="宋体"/>
          <w:sz w:val="24"/>
        </w:rPr>
      </w:r>
      <w:r/>
    </w:p>
    <w:p>
      <w:pPr>
        <w:pStyle w:val="1070"/>
        <w:ind w:firstLine="420"/>
        <w:jc w:val="left"/>
        <w:rPr>
          <w:rFonts w:ascii="宋体"/>
          <w:sz w:val="24"/>
        </w:rPr>
      </w:pPr>
      <w:r>
        <w:rPr>
          <w:rFonts w:ascii="宋体"/>
          <w:sz w:val="24"/>
        </w:rPr>
      </w:r>
      <w:r/>
    </w:p>
    <w:p>
      <w:pPr>
        <w:pStyle w:val="1070"/>
        <w:jc w:val="center"/>
        <w:keepLines/>
        <w:keepNext/>
        <w:spacing w:line="360" w:lineRule="auto"/>
        <w:rPr>
          <w:rFonts w:ascii="宋体" w:hAnsi="宋体"/>
          <w:b/>
          <w:sz w:val="28"/>
          <w:szCs w:val="20"/>
        </w:rPr>
        <w:outlineLvl w:val="1"/>
      </w:pPr>
      <w:r/>
      <w:bookmarkStart w:id="364" w:name="_Toc151193859"/>
      <w:r/>
      <w:bookmarkStart w:id="365" w:name="_Toc264969235"/>
      <w:r/>
      <w:bookmarkStart w:id="366" w:name="_Toc226965735"/>
      <w:r/>
      <w:bookmarkStart w:id="367" w:name="_Toc150774645"/>
      <w:r/>
      <w:bookmarkStart w:id="368" w:name="_Toc150480783"/>
      <w:r/>
      <w:bookmarkStart w:id="369" w:name="_Toc151193787"/>
      <w:r/>
      <w:bookmarkStart w:id="370" w:name="_Toc226965818"/>
      <w:r/>
      <w:bookmarkStart w:id="371" w:name="_Toc151193933"/>
      <w:r/>
      <w:bookmarkStart w:id="372" w:name="_Toc265228383"/>
      <w:r/>
      <w:bookmarkStart w:id="373" w:name="_Toc150509296"/>
      <w:r/>
      <w:bookmarkStart w:id="374" w:name="_Toc226309789"/>
      <w:r/>
      <w:bookmarkStart w:id="375" w:name="_Toc151193643"/>
      <w:r/>
      <w:bookmarkStart w:id="376" w:name="_Toc127151545"/>
      <w:r/>
      <w:bookmarkStart w:id="377" w:name="_Toc305158813"/>
      <w:r/>
      <w:bookmarkStart w:id="378" w:name="_Toc305158887"/>
      <w:r/>
      <w:bookmarkStart w:id="379" w:name="_Toc195842910"/>
      <w:r/>
      <w:bookmarkStart w:id="380" w:name="_Toc150774750"/>
      <w:r/>
      <w:bookmarkStart w:id="381" w:name="_Toc151193715"/>
      <w:r/>
      <w:bookmarkStart w:id="382" w:name="_Toc520356169"/>
      <w:r/>
      <w:bookmarkStart w:id="383" w:name="_Toc142311047"/>
      <w:r/>
      <w:bookmarkStart w:id="384" w:name="_Toc226337241"/>
      <w:r/>
      <w:bookmarkStart w:id="385" w:name="_Toc151190172"/>
      <w:r>
        <w:rPr>
          <w:rFonts w:ascii="宋体" w:hAnsi="宋体"/>
          <w:b/>
          <w:sz w:val="28"/>
          <w:szCs w:val="20"/>
        </w:rPr>
        <w:t xml:space="preserve">六   </w:t>
      </w:r>
      <w:bookmarkEnd w:id="382"/>
      <w:r>
        <w:rPr>
          <w:rFonts w:ascii="宋体" w:hAnsi="宋体"/>
          <w:b/>
          <w:sz w:val="28"/>
          <w:szCs w:val="20"/>
        </w:rPr>
        <w:t xml:space="preserve">确定</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3"/>
      <w:r/>
      <w:bookmarkEnd w:id="384"/>
      <w:r/>
      <w:bookmarkEnd w:id="385"/>
      <w:r>
        <w:rPr>
          <w:rFonts w:ascii="宋体" w:hAnsi="宋体"/>
          <w:b/>
          <w:sz w:val="28"/>
          <w:szCs w:val="20"/>
        </w:rPr>
        <w:t xml:space="preserve">成交</w:t>
      </w:r>
      <w:r>
        <w:rPr>
          <w:rFonts w:ascii="宋体" w:hAnsi="宋体"/>
          <w:b/>
          <w:sz w:val="28"/>
          <w:szCs w:val="20"/>
        </w:rPr>
      </w:r>
      <w:r/>
    </w:p>
    <w:p>
      <w:pPr>
        <w:pStyle w:val="1070"/>
        <w:spacing w:line="360" w:lineRule="auto"/>
        <w:tabs>
          <w:tab w:val="left" w:pos="360" w:leader="none"/>
          <w:tab w:val="left" w:pos="5720" w:leader="none"/>
        </w:tabs>
        <w:rPr>
          <w:rFonts w:ascii="宋体" w:hAnsi="宋体"/>
          <w:sz w:val="24"/>
        </w:rPr>
        <w:outlineLvl w:val="1"/>
      </w:pPr>
      <w:r/>
      <w:bookmarkStart w:id="386" w:name="_Toc164351641"/>
      <w:r/>
      <w:bookmarkStart w:id="387" w:name="_Toc151193789"/>
      <w:r/>
      <w:bookmarkStart w:id="388" w:name="_Toc151193861"/>
      <w:r/>
      <w:bookmarkStart w:id="389" w:name="_Toc305158889"/>
      <w:r/>
      <w:bookmarkStart w:id="390" w:name="_Toc226309791"/>
      <w:r/>
      <w:bookmarkStart w:id="391" w:name="_Toc150774752"/>
      <w:r/>
      <w:bookmarkStart w:id="392" w:name="_Toc305158815"/>
      <w:r/>
      <w:bookmarkStart w:id="393" w:name="_Toc151193645"/>
      <w:r/>
      <w:bookmarkStart w:id="394" w:name="_Toc142311049"/>
      <w:r/>
      <w:bookmarkStart w:id="395" w:name="_Toc127161461"/>
      <w:r/>
      <w:bookmarkStart w:id="396" w:name="_Toc164608661"/>
      <w:r/>
      <w:bookmarkStart w:id="397" w:name="_Toc127151748"/>
      <w:r/>
      <w:bookmarkStart w:id="398" w:name="_Toc195842912"/>
      <w:r/>
      <w:bookmarkStart w:id="399" w:name="_Toc164229242"/>
      <w:r/>
      <w:bookmarkStart w:id="400" w:name="_Toc151193717"/>
      <w:r/>
      <w:bookmarkStart w:id="401" w:name="_Toc127151547"/>
      <w:r/>
      <w:bookmarkStart w:id="402" w:name="_Toc226965737"/>
      <w:r/>
      <w:bookmarkStart w:id="403" w:name="_Toc164608816"/>
      <w:r/>
      <w:bookmarkStart w:id="404" w:name="_Toc150480785"/>
      <w:r/>
      <w:bookmarkStart w:id="405" w:name="_Toc264969237"/>
      <w:r/>
      <w:bookmarkStart w:id="406" w:name="_Toc226965820"/>
      <w:r/>
      <w:bookmarkStart w:id="407" w:name="_Toc150774647"/>
      <w:r/>
      <w:bookmarkStart w:id="408" w:name="_Toc265228385"/>
      <w:r/>
      <w:bookmarkStart w:id="409" w:name="_Toc150509298"/>
      <w:r/>
      <w:bookmarkStart w:id="410" w:name="_Toc226337243"/>
      <w:r/>
      <w:bookmarkStart w:id="411" w:name="_Toc149720840"/>
      <w:r/>
      <w:bookmarkStart w:id="412" w:name="_Toc151193935"/>
      <w:r/>
      <w:bookmarkStart w:id="413" w:name="_Toc164229388"/>
      <w:r/>
      <w:bookmarkStart w:id="414" w:name="_Toc151190174"/>
      <w:r>
        <w:rPr>
          <w:rFonts w:hint="eastAsia" w:ascii="宋体" w:hAnsi="宋体"/>
          <w:sz w:val="24"/>
          <w:lang w:eastAsia="zh-CN"/>
        </w:rPr>
        <w:t xml:space="preserve">20.</w:t>
      </w:r>
      <w:r>
        <w:rPr>
          <w:rFonts w:ascii="宋体" w:hAnsi="宋体"/>
          <w:sz w:val="24"/>
        </w:rPr>
        <w:t xml:space="preserve">确定成交供应商</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ascii="宋体" w:hAnsi="宋体"/>
          <w:sz w:val="24"/>
        </w:rPr>
      </w:r>
      <w:r/>
    </w:p>
    <w:p>
      <w:pPr>
        <w:pStyle w:val="1070"/>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rPr>
      </w:pPr>
      <w:r>
        <w:rPr>
          <w:rFonts w:hint="eastAsia" w:ascii="宋体" w:hAnsi="宋体"/>
          <w:sz w:val="24"/>
        </w:rPr>
        <w:t xml:space="preserve">20.1</w:t>
      </w:r>
      <w:r>
        <w:rPr>
          <w:rFonts w:ascii="宋体" w:hAnsi="宋体"/>
          <w:sz w:val="24"/>
        </w:rPr>
        <w:t xml:space="preserve">采购人将在收到评审报告后，从评审报告提出的成交候选供应商中，按照排序由高到低的原则确定成交供应商</w:t>
      </w:r>
      <w:r>
        <w:rPr>
          <w:rFonts w:hint="eastAsia" w:ascii="宋体" w:hAnsi="宋体"/>
          <w:sz w:val="24"/>
        </w:rPr>
        <w:t xml:space="preserve">。</w:t>
      </w:r>
      <w:r>
        <w:rPr>
          <w:rFonts w:ascii="宋体" w:hAnsi="宋体"/>
          <w:sz w:val="24"/>
        </w:rPr>
        <w:t xml:space="preserve">成交候选人并列的，由采购人</w:t>
      </w:r>
      <w:r>
        <w:rPr>
          <w:rFonts w:hint="eastAsia" w:ascii="宋体" w:hAnsi="宋体"/>
          <w:sz w:val="24"/>
        </w:rPr>
        <w:t xml:space="preserve">依法</w:t>
      </w:r>
      <w:r>
        <w:rPr>
          <w:rFonts w:ascii="宋体" w:hAnsi="宋体"/>
          <w:sz w:val="24"/>
        </w:rPr>
        <w:t xml:space="preserve">确定。</w:t>
      </w:r>
      <w:r>
        <w:rPr>
          <w:rFonts w:ascii="宋体" w:hAnsi="宋体"/>
          <w:sz w:val="24"/>
        </w:rPr>
      </w:r>
      <w:r/>
    </w:p>
    <w:p>
      <w:pPr>
        <w:pStyle w:val="1070"/>
        <w:spacing w:line="360" w:lineRule="auto"/>
        <w:tabs>
          <w:tab w:val="left" w:pos="360" w:leader="none"/>
          <w:tab w:val="left" w:pos="5720" w:leader="none"/>
        </w:tabs>
        <w:rPr>
          <w:rFonts w:ascii="宋体" w:hAnsi="宋体"/>
          <w:sz w:val="24"/>
        </w:rPr>
        <w:outlineLvl w:val="1"/>
      </w:pPr>
      <w:r/>
      <w:bookmarkStart w:id="415" w:name="_Toc264969239"/>
      <w:r/>
      <w:bookmarkStart w:id="416" w:name="_Toc164608663"/>
      <w:r/>
      <w:bookmarkStart w:id="417" w:name="_Toc164229390"/>
      <w:r/>
      <w:bookmarkStart w:id="418" w:name="_Toc305158817"/>
      <w:r/>
      <w:bookmarkStart w:id="419" w:name="_Toc305158891"/>
      <w:r/>
      <w:bookmarkStart w:id="420" w:name="_Toc164608818"/>
      <w:r/>
      <w:bookmarkStart w:id="421" w:name="_Toc142311051"/>
      <w:r/>
      <w:bookmarkStart w:id="422" w:name="_Toc151193791"/>
      <w:r/>
      <w:bookmarkStart w:id="423" w:name="_Toc195842914"/>
      <w:r/>
      <w:bookmarkStart w:id="424" w:name="_Toc127151750"/>
      <w:r/>
      <w:bookmarkStart w:id="425" w:name="_Toc226337245"/>
      <w:r/>
      <w:bookmarkStart w:id="426" w:name="_Toc150509300"/>
      <w:r/>
      <w:bookmarkStart w:id="427" w:name="_Toc151190176"/>
      <w:r/>
      <w:bookmarkStart w:id="428" w:name="_Toc151193647"/>
      <w:r/>
      <w:bookmarkStart w:id="429" w:name="_Toc151193937"/>
      <w:r/>
      <w:bookmarkStart w:id="430" w:name="_Toc149720842"/>
      <w:r/>
      <w:bookmarkStart w:id="431" w:name="_Toc164229244"/>
      <w:r/>
      <w:bookmarkStart w:id="432" w:name="_Toc226965739"/>
      <w:r/>
      <w:bookmarkStart w:id="433" w:name="_Toc265228387"/>
      <w:r/>
      <w:bookmarkStart w:id="434" w:name="_Toc151193863"/>
      <w:r/>
      <w:bookmarkStart w:id="435" w:name="_Toc150774754"/>
      <w:r/>
      <w:bookmarkStart w:id="436" w:name="_Toc151193719"/>
      <w:r/>
      <w:bookmarkStart w:id="437" w:name="_Toc127161463"/>
      <w:r/>
      <w:bookmarkStart w:id="438" w:name="_Toc164351643"/>
      <w:r/>
      <w:bookmarkStart w:id="439" w:name="_Toc226965822"/>
      <w:r/>
      <w:bookmarkStart w:id="440" w:name="_Toc150480787"/>
      <w:r/>
      <w:bookmarkStart w:id="441" w:name="_Toc127151549"/>
      <w:r/>
      <w:bookmarkStart w:id="442" w:name="_Toc226309793"/>
      <w:r/>
      <w:bookmarkStart w:id="443" w:name="_Toc150774649"/>
      <w:r>
        <w:rPr>
          <w:rFonts w:hint="eastAsia" w:ascii="宋体" w:hAnsi="宋体"/>
          <w:sz w:val="24"/>
          <w:lang w:eastAsia="zh-CN"/>
        </w:rPr>
        <w:t xml:space="preserve">21.</w:t>
      </w:r>
      <w:r>
        <w:rPr>
          <w:rFonts w:ascii="宋体" w:hAnsi="宋体"/>
          <w:sz w:val="24"/>
        </w:rPr>
        <w:t xml:space="preserve">成交公告与成交通知书</w:t>
      </w:r>
      <w:bookmarkEnd w:id="418"/>
      <w:r/>
      <w:bookmarkEnd w:id="419"/>
      <w:r>
        <w:rPr>
          <w:rFonts w:ascii="宋体" w:hAnsi="宋体"/>
          <w:sz w:val="24"/>
        </w:rPr>
      </w:r>
      <w:r/>
    </w:p>
    <w:p>
      <w:pPr>
        <w:pStyle w:val="1070"/>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rPr>
      </w:pPr>
      <w:r>
        <w:rPr>
          <w:rFonts w:hint="eastAsia" w:ascii="宋体" w:hAnsi="宋体"/>
          <w:sz w:val="24"/>
        </w:rPr>
        <w:t xml:space="preserve">2</w:t>
      </w:r>
      <w:r>
        <w:rPr>
          <w:rFonts w:ascii="宋体" w:hAnsi="宋体"/>
          <w:sz w:val="24"/>
        </w:rPr>
        <w:t xml:space="preserve">1.1采购人或采购代理机构将</w:t>
      </w:r>
      <w:r>
        <w:rPr>
          <w:rFonts w:ascii="宋体" w:hAnsi="宋体"/>
          <w:sz w:val="24"/>
        </w:rPr>
        <w:t xml:space="preserve">在成交供应商确定后2个工作日内，在</w:t>
      </w:r>
      <w:r>
        <w:rPr>
          <w:rFonts w:hint="eastAsia" w:ascii="宋体" w:hAnsi="宋体"/>
          <w:sz w:val="24"/>
        </w:rPr>
        <w:t xml:space="preserve">常州市政府采购网</w:t>
      </w:r>
      <w:r>
        <w:rPr>
          <w:rFonts w:ascii="宋体" w:hAnsi="宋体"/>
          <w:sz w:val="24"/>
        </w:rPr>
        <w:t xml:space="preserve">公告成交结果</w:t>
      </w:r>
      <w:r>
        <w:rPr>
          <w:rFonts w:hint="eastAsia" w:ascii="宋体" w:hAnsi="宋体"/>
          <w:sz w:val="24"/>
        </w:rPr>
        <w:t xml:space="preserve">，</w:t>
      </w:r>
      <w:r>
        <w:rPr>
          <w:rFonts w:ascii="宋体" w:hAnsi="宋体"/>
          <w:sz w:val="24"/>
        </w:rPr>
        <w:t xml:space="preserve">成交公告期限为1个工作日。</w:t>
      </w:r>
      <w:r>
        <w:rPr>
          <w:rFonts w:ascii="宋体" w:hAnsi="宋体"/>
          <w:sz w:val="24"/>
        </w:rPr>
      </w:r>
      <w:r/>
    </w:p>
    <w:p>
      <w:pPr>
        <w:pStyle w:val="1070"/>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rPr>
      </w:pPr>
      <w:r>
        <w:rPr>
          <w:rFonts w:ascii="宋体" w:hAnsi="宋体"/>
          <w:sz w:val="24"/>
        </w:rPr>
        <w:t xml:space="preserve">21.2成交通知书是合同的组成部分，对采购人和成交供应商具有同等法律效力。成交通知书发出后，采购人改变成交结果的，或者成交供应商放弃成交项目的，将依法承担法律责任</w:t>
      </w:r>
      <w:r>
        <w:rPr>
          <w:rFonts w:hint="eastAsia" w:ascii="宋体" w:hAnsi="宋体"/>
          <w:sz w:val="24"/>
        </w:rPr>
        <w:t xml:space="preserve">。</w:t>
      </w:r>
      <w:r>
        <w:rPr>
          <w:rFonts w:ascii="宋体" w:hAnsi="宋体"/>
          <w:sz w:val="24"/>
        </w:rPr>
      </w:r>
      <w:r/>
    </w:p>
    <w:p>
      <w:pPr>
        <w:pStyle w:val="1070"/>
        <w:spacing w:line="360" w:lineRule="auto"/>
        <w:tabs>
          <w:tab w:val="left" w:pos="360" w:leader="none"/>
          <w:tab w:val="left" w:pos="5720" w:leader="none"/>
        </w:tabs>
        <w:rPr>
          <w:rFonts w:ascii="宋体" w:hAnsi="宋体"/>
          <w:sz w:val="24"/>
        </w:rPr>
        <w:outlineLvl w:val="1"/>
      </w:pPr>
      <w:r>
        <w:rPr>
          <w:rFonts w:hint="eastAsia" w:ascii="宋体" w:hAnsi="宋体"/>
          <w:sz w:val="24"/>
          <w:lang w:eastAsia="zh-CN"/>
        </w:rPr>
        <w:t xml:space="preserve">22.</w:t>
      </w:r>
      <w:bookmarkEnd w:id="415"/>
      <w:r/>
      <w:bookmarkEnd w:id="416"/>
      <w:r/>
      <w:bookmarkEnd w:id="417"/>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Pr>
          <w:rFonts w:hint="eastAsia" w:ascii="宋体" w:hAnsi="宋体"/>
          <w:sz w:val="24"/>
        </w:rPr>
        <w:t xml:space="preserve">废标</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hint="eastAsia" w:ascii="宋体" w:hAnsi="宋体"/>
          <w:sz w:val="24"/>
        </w:rPr>
        <w:t xml:space="preserve">2</w:t>
      </w:r>
      <w:r>
        <w:rPr>
          <w:rFonts w:ascii="宋体" w:hAnsi="宋体"/>
          <w:sz w:val="24"/>
        </w:rPr>
        <w:t xml:space="preserve">2.1</w:t>
      </w:r>
      <w:r>
        <w:rPr>
          <w:rFonts w:hint="eastAsia" w:ascii="宋体" w:hAnsi="宋体"/>
          <w:sz w:val="24"/>
        </w:rPr>
        <w:t xml:space="preserve">在招标采购中，出现下列情形之一的，应予废标：</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hint="eastAsia" w:ascii="宋体" w:hAnsi="宋体"/>
          <w:sz w:val="24"/>
        </w:rPr>
        <w:t xml:space="preserve">2</w:t>
      </w:r>
      <w:r>
        <w:rPr>
          <w:rFonts w:ascii="宋体" w:hAnsi="宋体"/>
          <w:sz w:val="24"/>
        </w:rPr>
        <w:t xml:space="preserve">2.1.1</w:t>
      </w:r>
      <w:r>
        <w:rPr>
          <w:rFonts w:hint="eastAsia" w:ascii="宋体" w:hAnsi="宋体"/>
          <w:sz w:val="24"/>
        </w:rPr>
        <w:t xml:space="preserve">符合专业条件的供应商或者对招标文件作实质响应的供应商不足三家的；</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ascii="宋体" w:hAnsi="宋体"/>
          <w:sz w:val="24"/>
        </w:rPr>
        <w:t xml:space="preserve">22.1.2</w:t>
      </w:r>
      <w:r>
        <w:rPr>
          <w:rFonts w:hint="eastAsia" w:ascii="宋体" w:hAnsi="宋体"/>
          <w:sz w:val="24"/>
        </w:rPr>
        <w:t xml:space="preserve">出现影响采购公正的违法、违规行为的；</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ascii="宋体" w:hAnsi="宋体"/>
          <w:sz w:val="24"/>
        </w:rPr>
        <w:t xml:space="preserve">22.1.3</w:t>
      </w:r>
      <w:r>
        <w:rPr>
          <w:rFonts w:hint="eastAsia" w:ascii="宋体" w:hAnsi="宋体"/>
          <w:sz w:val="24"/>
        </w:rPr>
        <w:t xml:space="preserve">投标人的报价均超过了采购预算，采购人不能支付的；</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ascii="宋体" w:hAnsi="宋体"/>
          <w:sz w:val="24"/>
        </w:rPr>
        <w:t xml:space="preserve">22.1.4</w:t>
      </w:r>
      <w:r>
        <w:rPr>
          <w:rFonts w:hint="eastAsia" w:ascii="宋体" w:hAnsi="宋体"/>
          <w:sz w:val="24"/>
        </w:rPr>
        <w:t xml:space="preserve">因重大变故，采购任务取消的。</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ascii="宋体" w:hAnsi="宋体"/>
          <w:sz w:val="24"/>
        </w:rPr>
        <w:t xml:space="preserve">22.1.5</w:t>
      </w:r>
      <w:r>
        <w:rPr>
          <w:rFonts w:hint="eastAsia" w:ascii="宋体" w:hAnsi="宋体"/>
          <w:sz w:val="24"/>
        </w:rPr>
        <w:t xml:space="preserve">平台系统出现序号1</w:t>
      </w:r>
      <w:r>
        <w:rPr>
          <w:rFonts w:ascii="宋体" w:hAnsi="宋体"/>
          <w:sz w:val="24"/>
        </w:rPr>
        <w:t xml:space="preserve">6</w:t>
      </w:r>
      <w:r>
        <w:rPr>
          <w:rFonts w:hint="eastAsia" w:ascii="宋体" w:hAnsi="宋体"/>
          <w:sz w:val="24"/>
        </w:rPr>
        <w:t xml:space="preserve">.8的所述情形，情况严重且影响采购活动公平、公正性的。</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hint="eastAsia" w:ascii="宋体" w:hAnsi="宋体"/>
          <w:sz w:val="24"/>
        </w:rPr>
        <w:t xml:space="preserve">2</w:t>
      </w:r>
      <w:r>
        <w:rPr>
          <w:rFonts w:ascii="宋体" w:hAnsi="宋体"/>
          <w:sz w:val="24"/>
        </w:rPr>
        <w:t xml:space="preserve">2.2</w:t>
      </w:r>
      <w:r>
        <w:rPr>
          <w:rFonts w:hint="eastAsia" w:ascii="宋体" w:hAnsi="宋体"/>
          <w:sz w:val="24"/>
        </w:rPr>
        <w:t xml:space="preserve">废标后，采购人将废标理由通知所有投标人。</w:t>
      </w:r>
      <w:r>
        <w:rPr>
          <w:rFonts w:ascii="宋体" w:hAnsi="宋体"/>
          <w:sz w:val="24"/>
        </w:rPr>
      </w:r>
      <w:r/>
    </w:p>
    <w:p>
      <w:pPr>
        <w:pStyle w:val="1070"/>
        <w:spacing w:line="360" w:lineRule="auto"/>
        <w:tabs>
          <w:tab w:val="left" w:pos="360" w:leader="none"/>
          <w:tab w:val="left" w:pos="5720" w:leader="none"/>
        </w:tabs>
        <w:rPr>
          <w:rFonts w:ascii="宋体" w:hAnsi="宋体"/>
          <w:sz w:val="24"/>
        </w:rPr>
        <w:outlineLvl w:val="1"/>
      </w:pPr>
      <w:r>
        <w:rPr>
          <w:rFonts w:hint="eastAsia" w:ascii="宋体" w:hAnsi="宋体"/>
          <w:sz w:val="24"/>
          <w:lang w:eastAsia="zh-CN"/>
        </w:rPr>
        <w:t xml:space="preserve">23.</w:t>
      </w:r>
      <w:r>
        <w:rPr>
          <w:rFonts w:hint="eastAsia" w:ascii="宋体" w:hAnsi="宋体"/>
          <w:sz w:val="24"/>
        </w:rPr>
        <w:t xml:space="preserve">签订合同</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hint="eastAsia" w:ascii="宋体" w:hAnsi="宋体"/>
          <w:sz w:val="24"/>
        </w:rPr>
        <w:t xml:space="preserve">2</w:t>
      </w:r>
      <w:r>
        <w:rPr>
          <w:rFonts w:ascii="宋体" w:hAnsi="宋体"/>
          <w:sz w:val="24"/>
        </w:rPr>
        <w:t xml:space="preserve">3.1</w:t>
      </w:r>
      <w:r>
        <w:rPr>
          <w:rFonts w:hint="eastAsia" w:ascii="宋体" w:hAnsi="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hint="eastAsia" w:ascii="宋体" w:hAnsi="宋体"/>
          <w:sz w:val="24"/>
        </w:rPr>
        <w:t xml:space="preserve">2</w:t>
      </w:r>
      <w:r>
        <w:rPr>
          <w:rFonts w:ascii="宋体" w:hAnsi="宋体"/>
          <w:sz w:val="24"/>
        </w:rPr>
        <w:t xml:space="preserve">3.2</w:t>
      </w:r>
      <w:r>
        <w:rPr>
          <w:rFonts w:hint="eastAsia" w:ascii="宋体" w:hAnsi="宋体"/>
          <w:sz w:val="24"/>
        </w:rPr>
        <w:t xml:space="preserve">中标人拒绝与采购人签订合同的，采购人可以按照评标报告推荐的中标候选人名单排序，确定下一候选人为中标人，也可以重新开展政府采购活动。</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ascii="宋体" w:hAnsi="宋体"/>
          <w:sz w:val="24"/>
        </w:rPr>
        <w:t xml:space="preserve">23.3</w:t>
      </w:r>
      <w:r>
        <w:rPr>
          <w:rFonts w:hint="eastAsia" w:ascii="宋体" w:hAnsi="宋体"/>
          <w:sz w:val="24"/>
        </w:rPr>
        <w:t xml:space="preserve">联合体中标的，联合体各方应当共同与采购人签订合同，就中标项目向采购人承担连带责任。</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ascii="宋体" w:hAnsi="宋体"/>
          <w:sz w:val="24"/>
        </w:rPr>
        <w:t xml:space="preserve">23.4</w:t>
      </w:r>
      <w:r>
        <w:rPr>
          <w:rFonts w:hint="eastAsia" w:ascii="宋体" w:hAnsi="宋体"/>
          <w:sz w:val="24"/>
        </w:rPr>
        <w:t xml:space="preserve">政府采购合同不能转包。</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ascii="宋体" w:hAnsi="宋体"/>
          <w:sz w:val="24"/>
        </w:rPr>
        <w:t xml:space="preserve">23.5</w:t>
      </w:r>
      <w:r>
        <w:rPr>
          <w:rFonts w:hint="eastAsia" w:ascii="宋体" w:hAnsi="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sz w:val="24"/>
        </w:rPr>
      </w:r>
      <w:r/>
    </w:p>
    <w:p>
      <w:pPr>
        <w:pStyle w:val="1070"/>
        <w:spacing w:line="360" w:lineRule="auto"/>
        <w:tabs>
          <w:tab w:val="left" w:pos="360" w:leader="none"/>
          <w:tab w:val="left" w:pos="5720" w:leader="none"/>
        </w:tabs>
        <w:rPr>
          <w:rFonts w:ascii="宋体" w:hAnsi="宋体"/>
          <w:sz w:val="24"/>
        </w:rPr>
        <w:outlineLvl w:val="1"/>
      </w:pPr>
      <w:r>
        <w:rPr>
          <w:rFonts w:hint="eastAsia" w:ascii="宋体" w:hAnsi="宋体"/>
          <w:sz w:val="24"/>
          <w:lang w:eastAsia="zh-CN"/>
        </w:rPr>
        <w:t xml:space="preserve">24.</w:t>
      </w:r>
      <w:r>
        <w:rPr>
          <w:rFonts w:hint="eastAsia" w:ascii="宋体" w:hAnsi="宋体"/>
          <w:sz w:val="24"/>
        </w:rPr>
        <w:t xml:space="preserve">询问与质疑</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hint="eastAsia" w:ascii="宋体" w:hAnsi="宋体"/>
          <w:sz w:val="24"/>
        </w:rPr>
        <w:t xml:space="preserve">2</w:t>
      </w:r>
      <w:r>
        <w:rPr>
          <w:rFonts w:ascii="宋体" w:hAnsi="宋体"/>
          <w:sz w:val="24"/>
        </w:rPr>
        <w:t xml:space="preserve">4.1</w:t>
      </w:r>
      <w:r>
        <w:rPr>
          <w:rFonts w:hint="eastAsia" w:ascii="宋体" w:hAnsi="宋体"/>
          <w:sz w:val="24"/>
        </w:rPr>
        <w:t xml:space="preserve">询问</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hint="eastAsia" w:ascii="宋体" w:hAnsi="宋体"/>
          <w:sz w:val="24"/>
        </w:rPr>
        <w:t xml:space="preserve">2</w:t>
      </w:r>
      <w:r>
        <w:rPr>
          <w:rFonts w:ascii="宋体" w:hAnsi="宋体"/>
          <w:sz w:val="24"/>
        </w:rPr>
        <w:t xml:space="preserve">4.1.1</w:t>
      </w:r>
      <w:r>
        <w:rPr>
          <w:rFonts w:hint="eastAsia" w:ascii="宋体" w:hAnsi="宋体"/>
          <w:sz w:val="24"/>
        </w:rPr>
        <w:t xml:space="preserve">投标人对政府采购活动事项有疑问的，可依法提出询问，并按《投标人须知资料表》载明的形式送达采购人或采购代理机构。</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ascii="宋体" w:hAnsi="宋体"/>
          <w:sz w:val="24"/>
        </w:rPr>
        <w:t xml:space="preserve">24.1.2</w:t>
      </w:r>
      <w:r>
        <w:rPr>
          <w:rFonts w:hint="eastAsia" w:ascii="宋体" w:hAnsi="宋体"/>
          <w:sz w:val="24"/>
        </w:rPr>
        <w:t xml:space="preserve">采购人或采购代理机构对供应商依法提出的询问，在3个工作日内作出答复，但答复的内容不得涉及商业秘密。</w:t>
      </w:r>
      <w:r>
        <w:rPr>
          <w:rFonts w:ascii="宋体" w:hAnsi="宋体"/>
          <w:sz w:val="24"/>
        </w:rPr>
      </w:r>
      <w:r/>
    </w:p>
    <w:p>
      <w:pPr>
        <w:pStyle w:val="1070"/>
        <w:spacing w:line="360" w:lineRule="auto"/>
        <w:tabs>
          <w:tab w:val="left" w:pos="360" w:leader="none"/>
          <w:tab w:val="left" w:pos="5720" w:leader="none"/>
        </w:tabs>
        <w:rPr>
          <w:rFonts w:ascii="宋体" w:hAnsi="宋体"/>
          <w:sz w:val="24"/>
        </w:rPr>
        <w:outlineLvl w:val="1"/>
      </w:pPr>
      <w:r>
        <w:rPr>
          <w:rFonts w:hint="eastAsia" w:ascii="宋体" w:hAnsi="宋体"/>
          <w:sz w:val="24"/>
          <w:lang w:eastAsia="zh-CN"/>
        </w:rPr>
        <w:t xml:space="preserve">25.</w:t>
      </w:r>
      <w:r>
        <w:rPr>
          <w:rFonts w:hint="eastAsia" w:ascii="宋体" w:hAnsi="宋体"/>
          <w:sz w:val="24"/>
        </w:rPr>
        <w:t xml:space="preserve">质疑</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hint="eastAsia" w:ascii="宋体" w:hAnsi="宋体"/>
          <w:sz w:val="24"/>
        </w:rPr>
        <w:t xml:space="preserve">2</w:t>
      </w:r>
      <w:r>
        <w:rPr>
          <w:rFonts w:ascii="宋体" w:hAnsi="宋体"/>
          <w:sz w:val="24"/>
        </w:rPr>
        <w:t xml:space="preserve">5.1</w:t>
      </w:r>
      <w:r>
        <w:rPr>
          <w:rFonts w:hint="eastAsia" w:ascii="宋体" w:hAnsi="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hint="eastAsia" w:ascii="宋体" w:hAnsi="宋体"/>
          <w:sz w:val="24"/>
        </w:rPr>
        <w:t xml:space="preserve">2</w:t>
      </w:r>
      <w:r>
        <w:rPr>
          <w:rFonts w:ascii="宋体" w:hAnsi="宋体"/>
          <w:sz w:val="24"/>
        </w:rPr>
        <w:t xml:space="preserve">5.2</w:t>
      </w:r>
      <w:r>
        <w:rPr>
          <w:rFonts w:hint="eastAsia" w:ascii="宋体" w:hAnsi="宋体"/>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hint="eastAsia" w:ascii="宋体" w:hAnsi="宋体"/>
          <w:sz w:val="24"/>
        </w:rPr>
        <w:t xml:space="preserve">2</w:t>
      </w:r>
      <w:r>
        <w:rPr>
          <w:rFonts w:ascii="宋体" w:hAnsi="宋体"/>
          <w:sz w:val="24"/>
        </w:rPr>
        <w:t xml:space="preserve">5.3</w:t>
      </w:r>
      <w:r>
        <w:rPr>
          <w:rFonts w:hint="eastAsia" w:ascii="宋体" w:hAnsi="宋体"/>
          <w:sz w:val="24"/>
        </w:rPr>
        <w:t xml:space="preserve">质疑函须使用财政部制定的范本文件。（下载网址</w:t>
      </w:r>
      <w:r>
        <w:rPr>
          <w:rFonts w:hint="eastAsia" w:ascii="宋体" w:hAnsi="宋体"/>
          <w:sz w:val="24"/>
          <w:lang w:eastAsia="zh-CN"/>
        </w:rPr>
        <w:t xml:space="preserve">）</w:t>
      </w:r>
      <w:r>
        <w:rPr>
          <w:rFonts w:ascii="宋体" w:hAnsi="宋体"/>
          <w:sz w:val="24"/>
        </w:rPr>
        <w:t xml:space="preserve">http://gks.mof.gov.cn/ztztz/zhengfucaigouguanli/201802/t20180201_2804589.htm</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hint="eastAsia" w:ascii="宋体" w:hAnsi="宋体"/>
          <w:sz w:val="24"/>
        </w:rPr>
        <w:t xml:space="preserve">2</w:t>
      </w:r>
      <w:r>
        <w:rPr>
          <w:rFonts w:ascii="宋体" w:hAnsi="宋体"/>
          <w:sz w:val="24"/>
        </w:rPr>
        <w:t xml:space="preserve">5.4</w:t>
      </w:r>
      <w:r>
        <w:rPr>
          <w:rFonts w:hint="eastAsia" w:ascii="宋体" w:hAnsi="宋体"/>
          <w:sz w:val="24"/>
        </w:rPr>
        <w:t xml:space="preserve">投标人为自然人的，应当由本人签字；投标人为法人或者其他组织的，应当由法定代表人、主要负责人，或者其授权代表签字或者加盖公章，并加盖公章。</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ascii="宋体" w:hAnsi="宋体"/>
          <w:sz w:val="24"/>
        </w:rPr>
        <w:t xml:space="preserve">25.5</w:t>
      </w:r>
      <w:r>
        <w:rPr>
          <w:rFonts w:hint="eastAsia" w:ascii="宋体" w:hAnsi="宋体"/>
          <w:sz w:val="24"/>
        </w:rPr>
        <w:t xml:space="preserve">投标人应在法定质疑期内一次性提出针对同一采购程序环节的质疑，法定质疑期内针对同一采购程序环节再次提出的质疑，采购人、采购代理机构有权不予答复。</w:t>
      </w:r>
      <w:r>
        <w:rPr>
          <w:rFonts w:ascii="宋体" w:hAnsi="宋体"/>
          <w:sz w:val="24"/>
        </w:rPr>
      </w:r>
      <w:r/>
    </w:p>
    <w:p>
      <w:pPr>
        <w:pStyle w:val="1070"/>
        <w:ind w:firstLine="480"/>
        <w:spacing w:line="360" w:lineRule="auto"/>
        <w:tabs>
          <w:tab w:val="left" w:pos="360" w:leader="none"/>
          <w:tab w:val="left" w:pos="5720" w:leader="none"/>
        </w:tabs>
        <w:rPr>
          <w:rFonts w:ascii="宋体" w:hAnsi="宋体"/>
          <w:sz w:val="24"/>
        </w:rPr>
        <w:outlineLvl w:val="1"/>
      </w:pPr>
      <w:r>
        <w:rPr>
          <w:rFonts w:ascii="宋体" w:hAnsi="宋体"/>
          <w:sz w:val="24"/>
        </w:rPr>
        <w:t xml:space="preserve">25.6</w:t>
      </w:r>
      <w:r>
        <w:rPr>
          <w:rFonts w:hint="eastAsia" w:ascii="宋体" w:hAnsi="宋体"/>
          <w:sz w:val="24"/>
        </w:rPr>
        <w:t xml:space="preserve">接收询问和质疑的联系部门、联系电话和通讯地址见《投标人须知资料表》。</w:t>
      </w:r>
      <w:r>
        <w:rPr>
          <w:rFonts w:ascii="宋体" w:hAnsi="宋体"/>
          <w:sz w:val="24"/>
        </w:rPr>
      </w:r>
      <w:r/>
    </w:p>
    <w:p>
      <w:pPr>
        <w:pStyle w:val="1070"/>
        <w:spacing w:line="360" w:lineRule="auto"/>
        <w:tabs>
          <w:tab w:val="left" w:pos="360" w:leader="none"/>
          <w:tab w:val="left" w:pos="5720" w:leader="none"/>
        </w:tabs>
        <w:rPr>
          <w:rFonts w:ascii="宋体" w:hAnsi="宋体"/>
          <w:sz w:val="24"/>
        </w:rPr>
        <w:outlineLvl w:val="1"/>
      </w:pPr>
      <w:r>
        <w:rPr>
          <w:rFonts w:hint="eastAsia" w:ascii="宋体" w:hAnsi="宋体"/>
          <w:sz w:val="24"/>
          <w:lang w:eastAsia="zh-CN"/>
        </w:rPr>
        <w:t xml:space="preserve">26.</w:t>
      </w:r>
      <w:r>
        <w:rPr>
          <w:rFonts w:hint="eastAsia" w:ascii="宋体" w:hAnsi="宋体"/>
          <w:sz w:val="24"/>
        </w:rPr>
        <w:t xml:space="preserve">代理费</w:t>
      </w:r>
      <w:r>
        <w:rPr>
          <w:rFonts w:ascii="宋体" w:hAnsi="宋体"/>
          <w:sz w:val="24"/>
        </w:rPr>
      </w:r>
      <w:r/>
    </w:p>
    <w:p>
      <w:pPr>
        <w:pStyle w:val="1070"/>
        <w:ind w:firstLine="480"/>
        <w:spacing w:line="360" w:lineRule="auto"/>
        <w:tabs>
          <w:tab w:val="left" w:pos="1080" w:leader="none"/>
          <w:tab w:val="left" w:pos="2014" w:leader="none"/>
        </w:tabs>
        <w:rPr>
          <w:rFonts w:hint="eastAsia"/>
          <w:sz w:val="24"/>
        </w:rPr>
      </w:pPr>
      <w:r>
        <w:rPr>
          <w:rFonts w:hint="eastAsia" w:ascii="宋体" w:hAnsi="宋体"/>
          <w:sz w:val="24"/>
        </w:rPr>
        <w:t xml:space="preserve">2</w:t>
      </w:r>
      <w:r>
        <w:rPr>
          <w:rFonts w:ascii="宋体" w:hAnsi="宋体"/>
          <w:sz w:val="24"/>
        </w:rPr>
        <w:t xml:space="preserve">6.1</w:t>
      </w:r>
      <w:r>
        <w:rPr>
          <w:rFonts w:hint="eastAsia" w:ascii="宋体" w:hAnsi="宋体"/>
          <w:sz w:val="24"/>
        </w:rPr>
        <w:t xml:space="preserve">收费对象、收费标准及缴纳时间见《投标人须知资料表》。由中标人支付的，中标人须一次性向采购代理机构缴纳代理费，投标报价应综合考虑代理费用。</w:t>
      </w:r>
      <w:r>
        <w:rPr>
          <w:rFonts w:hint="eastAsia"/>
          <w:sz w:val="24"/>
        </w:rPr>
      </w:r>
      <w:r/>
    </w:p>
    <w:p>
      <w:pPr>
        <w:pStyle w:val="1070"/>
        <w:jc w:val="center"/>
        <w:spacing w:line="360" w:lineRule="auto"/>
        <w:rPr>
          <w:b/>
          <w:sz w:val="36"/>
          <w:szCs w:val="36"/>
        </w:rPr>
        <w:outlineLvl w:val="0"/>
      </w:pPr>
      <w:r/>
      <w:bookmarkStart w:id="444" w:name="_Toc142311056"/>
      <w:r/>
      <w:bookmarkStart w:id="445" w:name="_Toc104818927"/>
      <w:r/>
      <w:bookmarkStart w:id="446" w:name="_Toc353873664"/>
      <w:r/>
      <w:bookmarkStart w:id="447" w:name="_Toc265228392"/>
      <w:r/>
      <w:bookmarkStart w:id="448" w:name="_Toc226337250"/>
      <w:r/>
      <w:bookmarkStart w:id="449" w:name="_Toc150774759"/>
      <w:r/>
      <w:bookmarkStart w:id="450" w:name="_Toc353825544"/>
      <w:r/>
      <w:bookmarkStart w:id="451" w:name="_Toc127151554"/>
      <w:r/>
      <w:bookmarkStart w:id="452" w:name="_Toc305158822"/>
      <w:r/>
      <w:bookmarkStart w:id="453" w:name="_Toc353873934"/>
      <w:r/>
      <w:bookmarkStart w:id="454" w:name="_Toc226965827"/>
      <w:r/>
      <w:bookmarkStart w:id="455" w:name="_Toc264969244"/>
      <w:r/>
      <w:bookmarkStart w:id="456" w:name="_Toc305158896"/>
      <w:r/>
      <w:bookmarkStart w:id="457" w:name="_Toc150480792"/>
      <w:r>
        <w:rPr>
          <w:b/>
          <w:sz w:val="36"/>
          <w:szCs w:val="36"/>
        </w:rPr>
      </w:r>
      <w:r/>
    </w:p>
    <w:p>
      <w:pPr>
        <w:pStyle w:val="1070"/>
      </w:pPr>
      <w:r/>
      <w:r/>
    </w:p>
    <w:p>
      <w:pPr>
        <w:pStyle w:val="1070"/>
        <w:jc w:val="center"/>
        <w:spacing w:line="360" w:lineRule="auto"/>
        <w:rPr>
          <w:b/>
          <w:sz w:val="36"/>
          <w:szCs w:val="36"/>
        </w:rPr>
        <w:outlineLvl w:val="0"/>
      </w:pPr>
      <w:r>
        <w:rPr>
          <w:b/>
          <w:sz w:val="36"/>
          <w:szCs w:val="36"/>
        </w:rPr>
        <w:t xml:space="preserve">第三章   </w:t>
      </w:r>
      <w:bookmarkEnd w:id="444"/>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b/>
          <w:sz w:val="36"/>
          <w:szCs w:val="36"/>
        </w:rPr>
        <w:t xml:space="preserve">评审</w:t>
      </w:r>
      <w:r>
        <w:rPr>
          <w:rFonts w:hint="eastAsia"/>
          <w:b/>
          <w:sz w:val="36"/>
          <w:szCs w:val="36"/>
        </w:rPr>
        <w:t xml:space="preserve">程序、评审</w:t>
      </w:r>
      <w:r>
        <w:rPr>
          <w:b/>
          <w:sz w:val="36"/>
          <w:szCs w:val="36"/>
        </w:rPr>
        <w:t xml:space="preserve">方法和评审标准</w:t>
      </w:r>
      <w:bookmarkEnd w:id="445"/>
      <w:r/>
      <w:bookmarkStart w:id="458" w:name="_Toc487900382"/>
      <w:r>
        <w:rPr>
          <w:b/>
          <w:sz w:val="36"/>
          <w:szCs w:val="36"/>
        </w:rPr>
      </w:r>
      <w:r/>
    </w:p>
    <w:p>
      <w:pPr>
        <w:pStyle w:val="1072"/>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070"/>
        <w:jc w:val="left"/>
        <w:tabs>
          <w:tab w:val="left" w:pos="1080" w:leader="none"/>
        </w:tabs>
        <w:rPr>
          <w:b/>
          <w:sz w:val="24"/>
        </w:rPr>
      </w:pPr>
      <w:r>
        <w:rPr>
          <w:b/>
          <w:sz w:val="24"/>
        </w:rPr>
        <w:tab/>
      </w:r>
      <w:r>
        <w:rPr>
          <w:b/>
          <w:sz w:val="24"/>
        </w:rPr>
      </w:r>
      <w:r/>
    </w:p>
    <w:p>
      <w:pPr>
        <w:pStyle w:val="1070"/>
        <w:spacing w:line="360" w:lineRule="auto"/>
        <w:tabs>
          <w:tab w:val="left" w:pos="360" w:leader="none"/>
        </w:tabs>
        <w:rPr>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458"/>
      <w:r/>
      <w:bookmarkStart w:id="459" w:name="_Toc164608655"/>
      <w:r/>
      <w:bookmarkStart w:id="460" w:name="_Toc164229236"/>
      <w:r/>
      <w:bookmarkStart w:id="461" w:name="_Toc151193929"/>
      <w:r/>
      <w:bookmarkStart w:id="462" w:name="_Toc226965731"/>
      <w:r/>
      <w:bookmarkStart w:id="463" w:name="_Toc265228379"/>
      <w:r/>
      <w:bookmarkStart w:id="464" w:name="_Toc264969231"/>
      <w:r/>
      <w:bookmarkStart w:id="465" w:name="_Toc127151742"/>
      <w:r/>
      <w:bookmarkStart w:id="466" w:name="_Toc150774641"/>
      <w:r/>
      <w:bookmarkStart w:id="467" w:name="_Toc127161455"/>
      <w:r/>
      <w:bookmarkStart w:id="468" w:name="_Toc195842906"/>
      <w:r/>
      <w:bookmarkStart w:id="469" w:name="_Toc150509292"/>
      <w:r/>
      <w:bookmarkStart w:id="470" w:name="_Toc226337237"/>
      <w:r/>
      <w:bookmarkStart w:id="471" w:name="_Toc164229382"/>
      <w:r/>
      <w:bookmarkStart w:id="472" w:name="_Toc151193783"/>
      <w:r/>
      <w:bookmarkStart w:id="473" w:name="_Toc151190168"/>
      <w:r/>
      <w:bookmarkStart w:id="474" w:name="_Toc149720834"/>
      <w:r/>
      <w:bookmarkStart w:id="475" w:name="_Toc305158883"/>
      <w:r/>
      <w:bookmarkStart w:id="476" w:name="_Toc164351635"/>
      <w:r/>
      <w:bookmarkStart w:id="477" w:name="_Toc151193711"/>
      <w:r/>
      <w:bookmarkStart w:id="478" w:name="_Toc150774746"/>
      <w:r/>
      <w:bookmarkStart w:id="479" w:name="_Toc151193639"/>
      <w:r/>
      <w:bookmarkStart w:id="480" w:name="_Toc142311043"/>
      <w:r/>
      <w:bookmarkStart w:id="481" w:name="_Toc164608810"/>
      <w:r/>
      <w:bookmarkStart w:id="482" w:name="_Toc150480779"/>
      <w:r/>
      <w:bookmarkStart w:id="483" w:name="_Toc226965814"/>
      <w:r/>
      <w:bookmarkStart w:id="484" w:name="_Toc151193855"/>
      <w:r/>
      <w:bookmarkStart w:id="485" w:name="_Toc305158809"/>
      <w:r/>
      <w:bookmarkStart w:id="486" w:name="_Toc127151541"/>
      <w:r/>
      <w:bookmarkStart w:id="487" w:name="_Toc226309785"/>
      <w:r/>
      <w:bookmarkStart w:id="488" w:name="_Toc353825551"/>
      <w:r/>
      <w:bookmarkStart w:id="489" w:name="_Toc353873941"/>
      <w:r/>
      <w:bookmarkStart w:id="490" w:name="_Toc127151555"/>
      <w:r/>
      <w:bookmarkStart w:id="491" w:name="_Toc226337251"/>
      <w:r/>
      <w:bookmarkStart w:id="492" w:name="_Toc305158823"/>
      <w:r/>
      <w:bookmarkStart w:id="493" w:name="_Toc264969245"/>
      <w:r/>
      <w:bookmarkStart w:id="494" w:name="_Toc226965828"/>
      <w:r/>
      <w:bookmarkStart w:id="495" w:name="_Toc353825545"/>
      <w:r/>
      <w:bookmarkStart w:id="496" w:name="_Toc142311057"/>
      <w:r/>
      <w:bookmarkStart w:id="497" w:name="_Toc353873935"/>
      <w:r/>
      <w:bookmarkStart w:id="498" w:name="_Toc353873665"/>
      <w:r/>
      <w:bookmarkStart w:id="499" w:name="_Toc150774760"/>
      <w:r/>
      <w:bookmarkStart w:id="500" w:name="_Toc195842920"/>
      <w:r/>
      <w:bookmarkStart w:id="501" w:name="_Toc305158897"/>
      <w:r/>
      <w:bookmarkStart w:id="502" w:name="_Toc265228393"/>
      <w:r/>
      <w:bookmarkStart w:id="503" w:name="_Toc150480793"/>
      <w:r>
        <w:rPr>
          <w:rFonts w:hint="eastAsia"/>
          <w:sz w:val="24"/>
          <w:lang w:eastAsia="zh-CN"/>
        </w:rPr>
        <w:t xml:space="preserve">1.</w:t>
      </w:r>
      <w:r>
        <w:rPr>
          <w:sz w:val="24"/>
        </w:rPr>
        <w:t xml:space="preserve">响应文件的</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sz w:val="24"/>
        </w:rPr>
        <w:t xml:space="preserve">资格性检查和符合性审查</w:t>
      </w:r>
      <w:r>
        <w:rPr>
          <w:sz w:val="24"/>
        </w:rPr>
      </w:r>
      <w:r/>
    </w:p>
    <w:p>
      <w:pPr>
        <w:pStyle w:val="1070"/>
        <w:ind w:firstLine="480"/>
        <w:spacing w:line="360" w:lineRule="auto"/>
        <w:tabs>
          <w:tab w:val="left" w:pos="1080" w:leader="none"/>
        </w:tabs>
        <w:rPr>
          <w:sz w:val="24"/>
        </w:rPr>
      </w:pPr>
      <w:r>
        <w:rPr>
          <w:rFonts w:hint="eastAsia"/>
          <w:sz w:val="24"/>
        </w:rPr>
        <w:t xml:space="preserve">1.1采购人</w:t>
      </w:r>
      <w:r>
        <w:rPr>
          <w:rFonts w:hint="eastAsia"/>
          <w:sz w:val="24"/>
          <w:lang w:val="en-US" w:eastAsia="zh-CN"/>
        </w:rPr>
        <w:t xml:space="preserve">或评标小组</w:t>
      </w:r>
      <w:r>
        <w:rPr>
          <w:sz w:val="24"/>
        </w:rPr>
        <w:t xml:space="preserve">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070"/>
        <w:ind w:firstLine="480"/>
        <w:spacing w:line="360" w:lineRule="auto"/>
        <w:tabs>
          <w:tab w:val="left" w:pos="1080" w:leader="none"/>
        </w:tabs>
        <w:rPr>
          <w:sz w:val="24"/>
        </w:rPr>
      </w:pPr>
      <w:r>
        <w:rPr>
          <w:rFonts w:hint="eastAsia"/>
          <w:sz w:val="24"/>
        </w:rPr>
        <w:t xml:space="preserve">1.2</w:t>
      </w:r>
      <w:r>
        <w:rPr>
          <w:sz w:val="24"/>
        </w:rPr>
        <w:t xml:space="preserve">《资格性检查要求》中对格式有要求的，除竞争性磋商文件另有规定外，均为“实质性格式”文件。</w:t>
      </w:r>
      <w:r>
        <w:rPr>
          <w:sz w:val="24"/>
        </w:rPr>
      </w:r>
      <w:r/>
    </w:p>
    <w:p>
      <w:pPr>
        <w:pStyle w:val="1070"/>
        <w:ind w:firstLine="480"/>
        <w:spacing w:line="360" w:lineRule="auto"/>
        <w:tabs>
          <w:tab w:val="left" w:pos="1080" w:leader="none"/>
        </w:tabs>
        <w:rPr>
          <w:sz w:val="24"/>
        </w:rPr>
      </w:pPr>
      <w:r>
        <w:rPr>
          <w:rFonts w:hint="eastAsia"/>
          <w:sz w:val="24"/>
        </w:rPr>
        <w:t xml:space="preserve">1.3</w:t>
      </w:r>
      <w:r>
        <w:rPr>
          <w:sz w:val="24"/>
        </w:rPr>
        <w:t xml:space="preserve">《资格性检查要求》见下表：</w:t>
      </w:r>
      <w:r>
        <w:rPr>
          <w:sz w:val="24"/>
        </w:rPr>
      </w:r>
      <w:r/>
    </w:p>
    <w:p>
      <w:pPr>
        <w:pStyle w:val="1070"/>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5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158"/>
        <w:gridCol w:w="5195"/>
        <w:gridCol w:w="1775"/>
      </w:tblGrid>
      <w:tr>
        <w:trPr>
          <w:cantSplit/>
          <w:trHeight w:val="20"/>
          <w:tblHeader/>
        </w:trPr>
        <w:tc>
          <w:tcPr>
            <w:tcW w:w="421" w:type="dxa"/>
            <w:vAlign w:val="center"/>
            <w:textDirection w:val="lrTb"/>
            <w:noWrap w:val="false"/>
          </w:tcPr>
          <w:p>
            <w:pPr>
              <w:pStyle w:val="1070"/>
              <w:jc w:val="center"/>
              <w:tabs>
                <w:tab w:val="left" w:pos="1080" w:leader="none"/>
              </w:tabs>
              <w:rPr>
                <w:b/>
                <w:sz w:val="24"/>
              </w:rPr>
            </w:pPr>
            <w:r/>
            <w:bookmarkStart w:id="504" w:name="_Hlt487972895"/>
            <w:r/>
            <w:bookmarkEnd w:id="504"/>
            <w:r>
              <w:rPr>
                <w:b/>
                <w:sz w:val="24"/>
              </w:rPr>
              <w:t xml:space="preserve">序号</w:t>
            </w:r>
            <w:r>
              <w:rPr>
                <w:b/>
                <w:sz w:val="24"/>
              </w:rPr>
            </w:r>
            <w:r/>
          </w:p>
        </w:tc>
        <w:tc>
          <w:tcPr>
            <w:tcW w:w="1082" w:type="dxa"/>
            <w:vAlign w:val="center"/>
            <w:textDirection w:val="lrTb"/>
            <w:noWrap w:val="false"/>
          </w:tcPr>
          <w:p>
            <w:pPr>
              <w:pStyle w:val="1070"/>
              <w:jc w:val="center"/>
              <w:tabs>
                <w:tab w:val="left" w:pos="1080" w:leader="none"/>
              </w:tabs>
              <w:rPr>
                <w:b/>
                <w:sz w:val="24"/>
              </w:rPr>
            </w:pPr>
            <w:r>
              <w:rPr>
                <w:b/>
                <w:sz w:val="24"/>
              </w:rPr>
              <w:t xml:space="preserve">审查因素</w:t>
            </w:r>
            <w:r>
              <w:rPr>
                <w:b/>
                <w:sz w:val="24"/>
              </w:rPr>
            </w:r>
            <w:r/>
          </w:p>
        </w:tc>
        <w:tc>
          <w:tcPr>
            <w:tcW w:w="2605" w:type="dxa"/>
            <w:vAlign w:val="center"/>
            <w:textDirection w:val="lrTb"/>
            <w:noWrap w:val="false"/>
          </w:tcPr>
          <w:p>
            <w:pPr>
              <w:pStyle w:val="1070"/>
              <w:jc w:val="center"/>
              <w:tabs>
                <w:tab w:val="left" w:pos="1080" w:leader="none"/>
              </w:tabs>
              <w:rPr>
                <w:b/>
                <w:sz w:val="24"/>
              </w:rPr>
            </w:pPr>
            <w:r>
              <w:rPr>
                <w:b/>
                <w:sz w:val="24"/>
              </w:rPr>
              <w:t xml:space="preserve">审查内容</w:t>
            </w:r>
            <w:r>
              <w:rPr>
                <w:b/>
                <w:sz w:val="24"/>
              </w:rPr>
            </w:r>
            <w:r/>
          </w:p>
        </w:tc>
        <w:tc>
          <w:tcPr>
            <w:tcW w:w="890" w:type="dxa"/>
            <w:vAlign w:val="center"/>
            <w:textDirection w:val="lrTb"/>
            <w:noWrap w:val="false"/>
          </w:tcPr>
          <w:p>
            <w:pPr>
              <w:pStyle w:val="1070"/>
              <w:jc w:val="center"/>
              <w:tabs>
                <w:tab w:val="left" w:pos="1080" w:leader="none"/>
              </w:tabs>
              <w:rPr>
                <w:b/>
                <w:sz w:val="24"/>
              </w:rPr>
            </w:pPr>
            <w:r>
              <w:rPr>
                <w:b/>
                <w:sz w:val="24"/>
              </w:rPr>
              <w:t xml:space="preserve">格式要求</w:t>
            </w:r>
            <w:r>
              <w:rPr>
                <w:b/>
                <w:sz w:val="24"/>
              </w:rPr>
            </w:r>
            <w:r/>
          </w:p>
        </w:tc>
      </w:tr>
      <w:tr>
        <w:trPr>
          <w:cantSplit/>
          <w:trHeight w:val="20"/>
        </w:trPr>
        <w:tc>
          <w:tcPr>
            <w:tcW w:w="421" w:type="dxa"/>
            <w:vAlign w:val="center"/>
            <w:textDirection w:val="lrTb"/>
            <w:noWrap w:val="false"/>
          </w:tcPr>
          <w:p>
            <w:pPr>
              <w:pStyle w:val="1070"/>
              <w:jc w:val="center"/>
              <w:tabs>
                <w:tab w:val="left" w:pos="1080" w:leader="none"/>
              </w:tabs>
              <w:rPr>
                <w:sz w:val="24"/>
              </w:rPr>
            </w:pPr>
            <w:r>
              <w:rPr>
                <w:sz w:val="24"/>
              </w:rPr>
              <w:t xml:space="preserve">1</w:t>
            </w:r>
            <w:r>
              <w:rPr>
                <w:sz w:val="24"/>
              </w:rPr>
            </w:r>
            <w:r/>
          </w:p>
        </w:tc>
        <w:tc>
          <w:tcPr>
            <w:tcW w:w="1082" w:type="dxa"/>
            <w:vAlign w:val="center"/>
            <w:textDirection w:val="lrTb"/>
            <w:noWrap w:val="false"/>
          </w:tcPr>
          <w:p>
            <w:pPr>
              <w:pStyle w:val="1070"/>
              <w:tabs>
                <w:tab w:val="left" w:pos="1080" w:leader="none"/>
              </w:tabs>
              <w:rPr>
                <w:sz w:val="24"/>
              </w:rPr>
            </w:pPr>
            <w:r>
              <w:rPr>
                <w:sz w:val="24"/>
              </w:rPr>
              <w:t xml:space="preserve">满足《中华人民共和国政府采购法》第二十二条规定及法律法规的其他规定</w:t>
            </w:r>
            <w:r>
              <w:rPr>
                <w:sz w:val="24"/>
              </w:rPr>
            </w:r>
            <w:r/>
          </w:p>
        </w:tc>
        <w:tc>
          <w:tcPr>
            <w:tcW w:w="2605" w:type="dxa"/>
            <w:vAlign w:val="center"/>
            <w:textDirection w:val="lrTb"/>
            <w:noWrap w:val="false"/>
          </w:tcPr>
          <w:p>
            <w:pPr>
              <w:pStyle w:val="1070"/>
              <w:tabs>
                <w:tab w:val="left" w:pos="900" w:leader="none"/>
                <w:tab w:val="left" w:pos="1980" w:leader="none"/>
              </w:tabs>
              <w:rPr>
                <w:sz w:val="24"/>
              </w:rPr>
            </w:pPr>
            <w:r>
              <w:rPr>
                <w:rFonts w:hint="eastAsia" w:ascii="宋体" w:hAnsi="宋体" w:cs="宋体"/>
                <w:sz w:val="24"/>
              </w:rPr>
              <w:t xml:space="preserve">具体规定见第一章《采购邀请》</w:t>
            </w:r>
            <w:r>
              <w:rPr>
                <w:sz w:val="24"/>
              </w:rPr>
            </w:r>
            <w:r/>
          </w:p>
        </w:tc>
        <w:tc>
          <w:tcPr>
            <w:tcW w:w="890" w:type="dxa"/>
            <w:vAlign w:val="center"/>
            <w:textDirection w:val="lrTb"/>
            <w:noWrap w:val="false"/>
          </w:tcPr>
          <w:p>
            <w:pPr>
              <w:pStyle w:val="1070"/>
              <w:tabs>
                <w:tab w:val="left" w:pos="1080" w:leader="none"/>
              </w:tabs>
              <w:rPr>
                <w:sz w:val="24"/>
              </w:rPr>
            </w:pPr>
            <w:r>
              <w:rPr>
                <w:sz w:val="24"/>
              </w:rPr>
            </w:r>
            <w:r/>
          </w:p>
        </w:tc>
      </w:tr>
      <w:tr>
        <w:trPr>
          <w:cantSplit/>
          <w:trHeight w:val="786"/>
        </w:trPr>
        <w:tc>
          <w:tcPr>
            <w:tcW w:w="421" w:type="dxa"/>
            <w:vAlign w:val="center"/>
            <w:textDirection w:val="lrTb"/>
            <w:noWrap w:val="false"/>
          </w:tcPr>
          <w:p>
            <w:pPr>
              <w:pStyle w:val="1070"/>
              <w:jc w:val="center"/>
              <w:tabs>
                <w:tab w:val="left" w:pos="1080" w:leader="none"/>
              </w:tabs>
              <w:rPr>
                <w:sz w:val="24"/>
              </w:rPr>
            </w:pPr>
            <w:r>
              <w:rPr>
                <w:sz w:val="24"/>
              </w:rPr>
              <w:t xml:space="preserve">1-1</w:t>
            </w:r>
            <w:r>
              <w:rPr>
                <w:sz w:val="24"/>
              </w:rPr>
            </w:r>
            <w:r/>
          </w:p>
        </w:tc>
        <w:tc>
          <w:tcPr>
            <w:tcW w:w="1082" w:type="dxa"/>
            <w:vAlign w:val="center"/>
            <w:textDirection w:val="lrTb"/>
            <w:noWrap w:val="false"/>
          </w:tcPr>
          <w:p>
            <w:pPr>
              <w:pStyle w:val="1070"/>
              <w:tabs>
                <w:tab w:val="left" w:pos="1080" w:leader="none"/>
              </w:tabs>
              <w:rPr>
                <w:sz w:val="24"/>
              </w:rPr>
            </w:pPr>
            <w:r>
              <w:rPr>
                <w:rFonts w:hint="eastAsia"/>
                <w:sz w:val="24"/>
              </w:rPr>
              <w:t xml:space="preserve">供应商资格声明函</w:t>
            </w:r>
            <w:r>
              <w:rPr>
                <w:sz w:val="24"/>
              </w:rPr>
            </w:r>
            <w:r/>
          </w:p>
        </w:tc>
        <w:tc>
          <w:tcPr>
            <w:tcW w:w="2605" w:type="dxa"/>
            <w:vAlign w:val="center"/>
            <w:textDirection w:val="lrTb"/>
            <w:noWrap w:val="false"/>
          </w:tcPr>
          <w:p>
            <w:pPr>
              <w:pStyle w:val="1070"/>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890" w:type="dxa"/>
            <w:vAlign w:val="center"/>
            <w:textDirection w:val="lrTb"/>
            <w:noWrap w:val="false"/>
          </w:tcPr>
          <w:p>
            <w:pPr>
              <w:pStyle w:val="1070"/>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trHeight w:val="20"/>
        </w:trPr>
        <w:tc>
          <w:tcPr>
            <w:tcW w:w="421" w:type="dxa"/>
            <w:vAlign w:val="center"/>
            <w:textDirection w:val="lrTb"/>
            <w:noWrap w:val="false"/>
          </w:tcPr>
          <w:p>
            <w:pPr>
              <w:pStyle w:val="1070"/>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82" w:type="dxa"/>
            <w:vAlign w:val="center"/>
            <w:textDirection w:val="lrTb"/>
            <w:noWrap w:val="false"/>
          </w:tcPr>
          <w:p>
            <w:pPr>
              <w:pStyle w:val="1070"/>
              <w:tabs>
                <w:tab w:val="left" w:pos="1080" w:leader="none"/>
              </w:tabs>
              <w:rPr>
                <w:sz w:val="24"/>
              </w:rPr>
            </w:pPr>
            <w:r>
              <w:rPr>
                <w:sz w:val="24"/>
              </w:rPr>
              <w:t xml:space="preserve">供应商信用记录</w:t>
            </w:r>
            <w:r>
              <w:rPr>
                <w:sz w:val="24"/>
              </w:rPr>
            </w:r>
            <w:r/>
          </w:p>
        </w:tc>
        <w:tc>
          <w:tcPr>
            <w:tcW w:w="2605" w:type="dxa"/>
            <w:vAlign w:val="center"/>
            <w:textDirection w:val="lrTb"/>
            <w:noWrap w:val="false"/>
          </w:tcPr>
          <w:p>
            <w:pPr>
              <w:pStyle w:val="1070"/>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1070"/>
              <w:tabs>
                <w:tab w:val="left" w:pos="900" w:leader="none"/>
                <w:tab w:val="left" w:pos="1980" w:leader="none"/>
              </w:tabs>
              <w:rPr>
                <w:b/>
                <w:bCs/>
                <w:sz w:val="24"/>
              </w:rPr>
            </w:pPr>
            <w:r>
              <w:rPr>
                <w:sz w:val="24"/>
              </w:rPr>
              <w:t xml:space="preserve">截止时点：</w:t>
            </w:r>
            <w:r>
              <w:rPr>
                <w:b/>
                <w:bCs/>
                <w:sz w:val="24"/>
              </w:rPr>
              <w:t xml:space="preserve">提交响应文件截止时间以后、</w:t>
            </w:r>
            <w:r>
              <w:rPr>
                <w:rFonts w:hint="eastAsia"/>
                <w:b/>
                <w:bCs/>
                <w:sz w:val="24"/>
              </w:rPr>
              <w:t xml:space="preserve">资格审查阶段采购人或采购代理机构</w:t>
            </w:r>
            <w:r>
              <w:rPr>
                <w:b/>
                <w:bCs/>
                <w:sz w:val="24"/>
              </w:rPr>
              <w:t xml:space="preserve">的实际查询时间；</w:t>
            </w:r>
            <w:r>
              <w:rPr>
                <w:b/>
                <w:bCs/>
                <w:sz w:val="24"/>
              </w:rPr>
            </w:r>
            <w:r/>
          </w:p>
          <w:p>
            <w:pPr>
              <w:pStyle w:val="1070"/>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70"/>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890" w:type="dxa"/>
            <w:vAlign w:val="center"/>
            <w:textDirection w:val="lrTb"/>
            <w:noWrap w:val="false"/>
          </w:tcPr>
          <w:p>
            <w:pPr>
              <w:pStyle w:val="1070"/>
              <w:tabs>
                <w:tab w:val="left" w:pos="1080" w:leader="none"/>
              </w:tabs>
              <w:rPr>
                <w:sz w:val="24"/>
              </w:rPr>
            </w:pPr>
            <w:r>
              <w:rPr>
                <w:sz w:val="24"/>
              </w:rPr>
            </w:r>
            <w:r/>
          </w:p>
        </w:tc>
      </w:tr>
      <w:tr>
        <w:trPr>
          <w:trHeight w:val="20"/>
        </w:trPr>
        <w:tc>
          <w:tcPr>
            <w:tcW w:w="421" w:type="dxa"/>
            <w:vAlign w:val="center"/>
            <w:textDirection w:val="lrTb"/>
            <w:noWrap w:val="false"/>
          </w:tcPr>
          <w:p>
            <w:pPr>
              <w:pStyle w:val="1070"/>
              <w:jc w:val="center"/>
              <w:tabs>
                <w:tab w:val="left" w:pos="1080" w:leader="none"/>
              </w:tabs>
              <w:rPr>
                <w:rFonts w:hint="eastAsia"/>
                <w:sz w:val="24"/>
              </w:rPr>
            </w:pPr>
            <w:r>
              <w:rPr>
                <w:sz w:val="24"/>
              </w:rPr>
              <w:t xml:space="preserve">2</w:t>
            </w:r>
            <w:r>
              <w:rPr>
                <w:rFonts w:hint="eastAsia"/>
                <w:sz w:val="24"/>
              </w:rPr>
            </w:r>
            <w:r/>
          </w:p>
        </w:tc>
        <w:tc>
          <w:tcPr>
            <w:tcW w:w="1082" w:type="dxa"/>
            <w:vAlign w:val="center"/>
            <w:textDirection w:val="lrTb"/>
            <w:noWrap w:val="false"/>
          </w:tcPr>
          <w:p>
            <w:pPr>
              <w:pStyle w:val="1070"/>
              <w:tabs>
                <w:tab w:val="left" w:pos="1080" w:leader="none"/>
              </w:tabs>
              <w:rPr>
                <w:sz w:val="24"/>
              </w:rPr>
            </w:pPr>
            <w:r>
              <w:rPr>
                <w:sz w:val="24"/>
              </w:rPr>
              <w:t xml:space="preserve">落实政府采购政策需满足的资格要求</w:t>
            </w:r>
            <w:r>
              <w:rPr>
                <w:sz w:val="24"/>
              </w:rPr>
            </w:r>
            <w:r/>
          </w:p>
        </w:tc>
        <w:tc>
          <w:tcPr>
            <w:tcW w:w="2605" w:type="dxa"/>
            <w:vAlign w:val="center"/>
            <w:textDirection w:val="lrTb"/>
            <w:noWrap w:val="false"/>
          </w:tcPr>
          <w:p>
            <w:pPr>
              <w:pStyle w:val="1070"/>
              <w:tabs>
                <w:tab w:val="left" w:pos="1080" w:leader="none"/>
              </w:tabs>
              <w:rPr>
                <w:sz w:val="24"/>
              </w:rPr>
            </w:pPr>
            <w:r>
              <w:rPr>
                <w:rFonts w:hint="eastAsia" w:ascii="宋体" w:hAnsi="宋体" w:cs="宋体"/>
                <w:sz w:val="24"/>
              </w:rPr>
              <w:t xml:space="preserve">具体规定见第一章《采购邀请》</w:t>
            </w:r>
            <w:r>
              <w:rPr>
                <w:rFonts w:hint="eastAsia" w:ascii="Times New Roman" w:hAnsi="Times New Roman"/>
                <w:sz w:val="24"/>
              </w:rPr>
              <w:t xml:space="preserve">。</w:t>
            </w:r>
            <w:r>
              <w:rPr>
                <w:sz w:val="24"/>
              </w:rPr>
            </w:r>
            <w:r/>
          </w:p>
        </w:tc>
        <w:tc>
          <w:tcPr>
            <w:tcW w:w="890" w:type="dxa"/>
            <w:vAlign w:val="center"/>
            <w:textDirection w:val="lrTb"/>
            <w:noWrap w:val="false"/>
          </w:tcPr>
          <w:p>
            <w:pPr>
              <w:pStyle w:val="1070"/>
              <w:tabs>
                <w:tab w:val="left" w:pos="1080" w:leader="none"/>
              </w:tabs>
              <w:rPr>
                <w:sz w:val="24"/>
              </w:rPr>
            </w:pPr>
            <w:r>
              <w:rPr>
                <w:sz w:val="24"/>
              </w:rPr>
            </w:r>
            <w:r/>
          </w:p>
        </w:tc>
      </w:tr>
      <w:tr>
        <w:trPr>
          <w:trHeight w:val="20"/>
        </w:trPr>
        <w:tc>
          <w:tcPr>
            <w:tcW w:w="421" w:type="dxa"/>
            <w:vAlign w:val="center"/>
            <w:textDirection w:val="lrTb"/>
            <w:noWrap w:val="false"/>
          </w:tcPr>
          <w:p>
            <w:pPr>
              <w:pStyle w:val="1070"/>
              <w:jc w:val="center"/>
              <w:tabs>
                <w:tab w:val="left" w:pos="1080" w:leader="none"/>
              </w:tabs>
              <w:rPr>
                <w:rFonts w:hint="eastAsia"/>
                <w:sz w:val="24"/>
              </w:rPr>
            </w:pPr>
            <w:r>
              <w:rPr>
                <w:sz w:val="24"/>
              </w:rPr>
              <w:t xml:space="preserve">2-1</w:t>
            </w:r>
            <w:r>
              <w:rPr>
                <w:rFonts w:hint="eastAsia"/>
                <w:sz w:val="24"/>
              </w:rPr>
            </w:r>
            <w:r/>
          </w:p>
        </w:tc>
        <w:tc>
          <w:tcPr>
            <w:tcW w:w="1082" w:type="dxa"/>
            <w:vAlign w:val="center"/>
            <w:textDirection w:val="lrTb"/>
            <w:noWrap w:val="false"/>
          </w:tcPr>
          <w:p>
            <w:pPr>
              <w:pStyle w:val="1070"/>
              <w:tabs>
                <w:tab w:val="left" w:pos="1080" w:leader="none"/>
              </w:tabs>
              <w:rPr>
                <w:sz w:val="24"/>
              </w:rPr>
            </w:pPr>
            <w:r>
              <w:rPr>
                <w:sz w:val="24"/>
              </w:rPr>
              <w:t xml:space="preserve">中小企业声明函</w:t>
            </w:r>
            <w:r>
              <w:rPr>
                <w:sz w:val="24"/>
              </w:rPr>
            </w:r>
            <w:r/>
          </w:p>
        </w:tc>
        <w:tc>
          <w:tcPr>
            <w:tcW w:w="2605" w:type="dxa"/>
            <w:vAlign w:val="center"/>
            <w:textDirection w:val="lrTb"/>
            <w:noWrap w:val="false"/>
          </w:tcPr>
          <w:p>
            <w:pPr>
              <w:pStyle w:val="1070"/>
              <w:tabs>
                <w:tab w:val="left" w:pos="1080" w:leader="none"/>
              </w:tabs>
              <w:rPr>
                <w:rFonts w:ascii="Times New Roman" w:hAnsi="Times New Roman"/>
                <w:sz w:val="24"/>
              </w:rPr>
            </w:pPr>
            <w:r>
              <w:rPr>
                <w:rFonts w:hint="eastAsia" w:ascii="Times New Roman" w:hAnsi="Times New Roman"/>
                <w:sz w:val="24"/>
                <w:lang w:eastAsia="zh-CN"/>
              </w:rPr>
              <w:t xml:space="preserve">1.</w:t>
            </w:r>
            <w:r>
              <w:rPr>
                <w:rFonts w:hint="eastAsia" w:ascii="Times New Roman" w:hAnsi="Times New Roman"/>
                <w:sz w:val="24"/>
              </w:rPr>
              <w:t xml:space="preserve">供应商单独参与磋商的，应提供中小企业声明函；如为监狱企业或残疾人福利性单位，不必提供中小企业声明函，但须按注1或注2要求提供证明材料。</w:t>
            </w:r>
            <w:r>
              <w:rPr>
                <w:rFonts w:ascii="Times New Roman" w:hAnsi="Times New Roman"/>
                <w:sz w:val="24"/>
              </w:rPr>
            </w:r>
            <w:r/>
          </w:p>
          <w:p>
            <w:pPr>
              <w:pStyle w:val="1070"/>
              <w:tabs>
                <w:tab w:val="left" w:pos="1080" w:leader="none"/>
              </w:tabs>
              <w:rPr>
                <w:rFonts w:ascii="Times New Roman" w:hAnsi="Times New Roman"/>
                <w:sz w:val="24"/>
              </w:rPr>
            </w:pPr>
            <w:r>
              <w:rPr>
                <w:rFonts w:hint="eastAsia" w:ascii="Times New Roman" w:hAnsi="Times New Roman"/>
                <w:sz w:val="24"/>
                <w:lang w:eastAsia="zh-CN"/>
              </w:rPr>
              <w:t xml:space="preserve">2.</w:t>
            </w:r>
            <w:r>
              <w:rPr>
                <w:rFonts w:hint="eastAsia" w:ascii="Times New Roman" w:hAnsi="Times New Roman"/>
                <w:sz w:val="24"/>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Times New Roman" w:hAnsi="Times New Roman"/>
                <w:sz w:val="24"/>
              </w:rPr>
            </w:r>
            <w:r/>
          </w:p>
          <w:p>
            <w:pPr>
              <w:pStyle w:val="1070"/>
              <w:tabs>
                <w:tab w:val="left" w:pos="1080" w:leader="none"/>
              </w:tabs>
              <w:rPr>
                <w:rFonts w:ascii="Times New Roman" w:hAnsi="Times New Roman"/>
                <w:sz w:val="24"/>
              </w:rPr>
            </w:pPr>
            <w:r>
              <w:rPr>
                <w:rFonts w:hint="eastAsia" w:ascii="Times New Roman" w:hAnsi="Times New Roman"/>
                <w:sz w:val="24"/>
              </w:rPr>
              <w:t xml:space="preserve">注1：监狱企业须提供由省级以上监狱管理局（常州市含教育矫治局）、戒毒管理局（含新疆生产建设兵团）出具的属于监狱企业的证明文件。</w:t>
            </w:r>
            <w:r>
              <w:rPr>
                <w:rFonts w:ascii="Times New Roman" w:hAnsi="Times New Roman"/>
                <w:sz w:val="24"/>
              </w:rPr>
            </w:r>
            <w:r/>
          </w:p>
          <w:p>
            <w:pPr>
              <w:pStyle w:val="1070"/>
              <w:tabs>
                <w:tab w:val="left" w:pos="1080" w:leader="none"/>
              </w:tabs>
              <w:rPr>
                <w:rFonts w:ascii="Times New Roman" w:hAnsi="Times New Roman"/>
                <w:sz w:val="24"/>
              </w:rPr>
            </w:pPr>
            <w:r>
              <w:rPr>
                <w:rFonts w:hint="eastAsia" w:ascii="Times New Roman" w:hAnsi="Times New Roman"/>
                <w:sz w:val="24"/>
              </w:rPr>
              <w:t xml:space="preserve">注2：残疾人福利性单位须按磋商文件要求提供《残疾人福利性单位声明函》。</w:t>
            </w:r>
            <w:r>
              <w:rPr>
                <w:rFonts w:ascii="Times New Roman" w:hAnsi="Times New Roman"/>
                <w:sz w:val="24"/>
              </w:rPr>
            </w:r>
            <w:r/>
          </w:p>
        </w:tc>
        <w:tc>
          <w:tcPr>
            <w:tcW w:w="890" w:type="dxa"/>
            <w:vAlign w:val="center"/>
            <w:textDirection w:val="lrTb"/>
            <w:noWrap w:val="false"/>
          </w:tcPr>
          <w:p>
            <w:pPr>
              <w:pStyle w:val="1070"/>
              <w:tabs>
                <w:tab w:val="left" w:pos="1080" w:leader="none"/>
              </w:tabs>
              <w:rPr>
                <w:rFonts w:ascii="Times New Roman" w:hAnsi="Times New Roman"/>
                <w:sz w:val="24"/>
              </w:rPr>
            </w:pPr>
            <w:r>
              <w:rPr>
                <w:rFonts w:hint="eastAsia" w:ascii="宋体" w:hAnsi="宋体"/>
                <w:sz w:val="24"/>
              </w:rPr>
              <w:t xml:space="preserve">提供证明文件的电子扫描件加盖电子公章</w:t>
            </w:r>
            <w:r>
              <w:rPr>
                <w:rFonts w:ascii="Times New Roman" w:hAnsi="Times New Roman"/>
                <w:sz w:val="24"/>
              </w:rPr>
            </w:r>
            <w:r/>
          </w:p>
        </w:tc>
      </w:tr>
      <w:tr>
        <w:trPr>
          <w:cantSplit/>
          <w:trHeight w:val="20"/>
        </w:trPr>
        <w:tc>
          <w:tcPr>
            <w:tcW w:w="421" w:type="dxa"/>
            <w:vAlign w:val="center"/>
            <w:textDirection w:val="lrTb"/>
            <w:noWrap w:val="false"/>
          </w:tcPr>
          <w:p>
            <w:pPr>
              <w:pStyle w:val="1070"/>
              <w:jc w:val="center"/>
              <w:tabs>
                <w:tab w:val="left" w:pos="1080" w:leader="none"/>
              </w:tabs>
              <w:rPr>
                <w:sz w:val="24"/>
              </w:rPr>
            </w:pPr>
            <w:r>
              <w:rPr>
                <w:rFonts w:hint="eastAsia"/>
                <w:sz w:val="24"/>
              </w:rPr>
              <w:t xml:space="preserve">3</w:t>
            </w:r>
            <w:r>
              <w:rPr>
                <w:sz w:val="24"/>
              </w:rPr>
            </w:r>
            <w:r/>
          </w:p>
        </w:tc>
        <w:tc>
          <w:tcPr>
            <w:tcW w:w="1082" w:type="dxa"/>
            <w:vAlign w:val="center"/>
            <w:textDirection w:val="lrTb"/>
            <w:noWrap w:val="false"/>
          </w:tcPr>
          <w:p>
            <w:pPr>
              <w:pStyle w:val="1070"/>
              <w:tabs>
                <w:tab w:val="left" w:pos="1080" w:leader="none"/>
              </w:tabs>
              <w:rPr>
                <w:sz w:val="24"/>
              </w:rPr>
            </w:pPr>
            <w:r>
              <w:rPr>
                <w:rFonts w:hint="eastAsia"/>
                <w:sz w:val="24"/>
              </w:rPr>
              <w:t xml:space="preserve">其他资格要求</w:t>
            </w:r>
            <w:r>
              <w:rPr>
                <w:sz w:val="24"/>
              </w:rPr>
            </w:r>
            <w:r/>
          </w:p>
        </w:tc>
        <w:tc>
          <w:tcPr>
            <w:tcW w:w="4898" w:type="dxa"/>
            <w:vAlign w:val="center"/>
            <w:textDirection w:val="lrTb"/>
            <w:noWrap w:val="false"/>
          </w:tcPr>
          <w:p>
            <w:pPr>
              <w:pStyle w:val="1070"/>
              <w:tabs>
                <w:tab w:val="left" w:pos="1080" w:leader="none"/>
              </w:tabs>
              <w:rPr>
                <w:rFonts w:hint="eastAsia" w:ascii="Times New Roman" w:hAnsi="Times New Roman" w:eastAsia="宋体"/>
                <w:sz w:val="24"/>
                <w:lang w:eastAsia="zh-CN"/>
              </w:rPr>
            </w:pP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sz w:val="24"/>
                <w:lang w:eastAsia="zh-CN"/>
              </w:rPr>
            </w:r>
            <w:r/>
          </w:p>
        </w:tc>
        <w:tc>
          <w:tcPr>
            <w:tcW w:w="1673" w:type="dxa"/>
            <w:vAlign w:val="center"/>
            <w:textDirection w:val="lrTb"/>
            <w:noWrap w:val="false"/>
          </w:tcPr>
          <w:p>
            <w:pPr>
              <w:pStyle w:val="1070"/>
              <w:tabs>
                <w:tab w:val="left" w:pos="1080" w:leader="none"/>
              </w:tabs>
              <w:rPr>
                <w:rFonts w:hint="eastAsia" w:ascii="宋体" w:hAnsi="宋体"/>
                <w:sz w:val="24"/>
              </w:rPr>
            </w:pPr>
            <w:r>
              <w:rPr>
                <w:rFonts w:hint="eastAsia" w:ascii="宋体" w:hAnsi="宋体"/>
                <w:sz w:val="24"/>
              </w:rPr>
            </w:r>
            <w:r/>
          </w:p>
        </w:tc>
      </w:tr>
    </w:tbl>
    <w:p>
      <w:pPr>
        <w:pStyle w:val="1070"/>
        <w:ind w:firstLine="480"/>
        <w:spacing w:line="360" w:lineRule="auto"/>
        <w:tabs>
          <w:tab w:val="left" w:pos="1080" w:leader="none"/>
        </w:tabs>
        <w:rPr>
          <w:sz w:val="24"/>
        </w:rPr>
      </w:pPr>
      <w:r>
        <w:rPr>
          <w:rFonts w:hint="eastAsia"/>
          <w:sz w:val="24"/>
        </w:rPr>
        <w:t xml:space="preserve">1.4、</w:t>
      </w:r>
      <w:r>
        <w:rPr>
          <w:sz w:val="24"/>
        </w:rPr>
        <w:t xml:space="preserve">《符合性审查要求》见下表：</w:t>
      </w:r>
      <w:r>
        <w:rPr>
          <w:sz w:val="24"/>
        </w:rPr>
      </w:r>
      <w:r/>
    </w:p>
    <w:p>
      <w:pPr>
        <w:pStyle w:val="1070"/>
        <w:jc w:val="center"/>
        <w:spacing w:line="360" w:lineRule="auto"/>
        <w:widowControl/>
        <w:rPr>
          <w:b/>
          <w:color w:val="000000"/>
          <w:sz w:val="24"/>
        </w:rPr>
      </w:pPr>
      <w:r>
        <w:rPr>
          <w:b/>
          <w:color w:val="000000"/>
          <w:sz w:val="24"/>
        </w:rPr>
        <w:t xml:space="preserve">符合性审查要求</w:t>
      </w:r>
      <w:r>
        <w:rPr>
          <w:b/>
          <w:color w:val="000000"/>
          <w:sz w:val="24"/>
        </w:rPr>
      </w:r>
      <w:r/>
    </w:p>
    <w:tbl>
      <w:tblPr>
        <w:tblW w:w="4990" w:type="pct"/>
        <w:jc w:val="center"/>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486"/>
        <w:gridCol w:w="6590"/>
      </w:tblGrid>
      <w:tr>
        <w:trPr>
          <w:trHeight w:val="300"/>
        </w:trPr>
        <w:tc>
          <w:tcPr>
            <w:tcW w:w="385" w:type="dxa"/>
            <w:vAlign w:val="center"/>
            <w:textDirection w:val="lrTb"/>
            <w:noWrap w:val="false"/>
          </w:tcPr>
          <w:p>
            <w:pPr>
              <w:pStyle w:val="1070"/>
              <w:jc w:val="center"/>
              <w:widowControl/>
              <w:rPr>
                <w:b/>
                <w:color w:val="000000"/>
                <w:sz w:val="24"/>
              </w:rPr>
            </w:pPr>
            <w:r>
              <w:rPr>
                <w:b/>
                <w:color w:val="000000"/>
                <w:sz w:val="24"/>
              </w:rPr>
              <w:t xml:space="preserve">序号</w:t>
            </w:r>
            <w:r>
              <w:rPr>
                <w:b/>
                <w:color w:val="000000"/>
                <w:sz w:val="24"/>
              </w:rPr>
            </w:r>
            <w:r/>
          </w:p>
        </w:tc>
        <w:tc>
          <w:tcPr>
            <w:tcW w:w="1264" w:type="dxa"/>
            <w:vAlign w:val="center"/>
            <w:textDirection w:val="lrTb"/>
            <w:noWrap w:val="false"/>
          </w:tcPr>
          <w:p>
            <w:pPr>
              <w:pStyle w:val="1070"/>
              <w:jc w:val="center"/>
              <w:widowControl/>
              <w:rPr>
                <w:b/>
                <w:color w:val="000000"/>
                <w:sz w:val="24"/>
              </w:rPr>
            </w:pPr>
            <w:r>
              <w:rPr>
                <w:b/>
                <w:color w:val="000000"/>
                <w:sz w:val="24"/>
              </w:rPr>
              <w:t xml:space="preserve">审查因素</w:t>
            </w:r>
            <w:r>
              <w:rPr>
                <w:b/>
                <w:color w:val="000000"/>
                <w:sz w:val="24"/>
              </w:rPr>
            </w:r>
            <w:r/>
          </w:p>
        </w:tc>
        <w:tc>
          <w:tcPr>
            <w:tcW w:w="3350" w:type="dxa"/>
            <w:vAlign w:val="center"/>
            <w:textDirection w:val="lrTb"/>
            <w:noWrap w:val="false"/>
          </w:tcPr>
          <w:p>
            <w:pPr>
              <w:pStyle w:val="1070"/>
              <w:jc w:val="center"/>
              <w:widowControl/>
              <w:rPr>
                <w:b/>
                <w:color w:val="000000"/>
                <w:sz w:val="24"/>
              </w:rPr>
            </w:pPr>
            <w:r>
              <w:rPr>
                <w:b/>
                <w:color w:val="000000"/>
                <w:sz w:val="24"/>
              </w:rPr>
              <w:t xml:space="preserve">审查内容</w:t>
            </w:r>
            <w:r>
              <w:rPr>
                <w:b/>
                <w:color w:val="000000"/>
                <w:sz w:val="24"/>
              </w:rPr>
            </w:r>
            <w:r/>
          </w:p>
        </w:tc>
      </w:tr>
      <w:tr>
        <w:trPr>
          <w:trHeight w:val="685"/>
        </w:trPr>
        <w:tc>
          <w:tcPr>
            <w:tcW w:w="385" w:type="dxa"/>
            <w:vAlign w:val="center"/>
            <w:textDirection w:val="lrTb"/>
            <w:noWrap w:val="false"/>
          </w:tcPr>
          <w:p>
            <w:pPr>
              <w:pStyle w:val="1070"/>
              <w:jc w:val="center"/>
              <w:widowControl/>
              <w:rPr>
                <w:color w:val="000000"/>
                <w:sz w:val="24"/>
              </w:rPr>
            </w:pPr>
            <w:r>
              <w:rPr>
                <w:color w:val="000000"/>
                <w:sz w:val="24"/>
              </w:rPr>
              <w:t xml:space="preserve">1</w:t>
            </w:r>
            <w:r>
              <w:rPr>
                <w:color w:val="000000"/>
                <w:sz w:val="24"/>
              </w:rPr>
            </w:r>
            <w:r/>
          </w:p>
        </w:tc>
        <w:tc>
          <w:tcPr>
            <w:tcW w:w="1264" w:type="dxa"/>
            <w:vAlign w:val="center"/>
            <w:textDirection w:val="lrTb"/>
            <w:noWrap w:val="false"/>
          </w:tcPr>
          <w:p>
            <w:pPr>
              <w:pStyle w:val="1070"/>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350" w:type="dxa"/>
            <w:vAlign w:val="center"/>
            <w:textDirection w:val="lrTb"/>
            <w:noWrap w:val="false"/>
          </w:tcPr>
          <w:p>
            <w:pPr>
              <w:pStyle w:val="1070"/>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385" w:type="dxa"/>
            <w:vAlign w:val="center"/>
            <w:textDirection w:val="lrTb"/>
            <w:noWrap w:val="false"/>
          </w:tcPr>
          <w:p>
            <w:pPr>
              <w:pStyle w:val="1070"/>
              <w:jc w:val="center"/>
              <w:widowControl/>
              <w:rPr>
                <w:color w:val="000000"/>
                <w:sz w:val="24"/>
              </w:rPr>
            </w:pPr>
            <w:r>
              <w:rPr>
                <w:color w:val="000000"/>
                <w:sz w:val="24"/>
              </w:rPr>
              <w:t xml:space="preserve">2</w:t>
            </w:r>
            <w:r>
              <w:rPr>
                <w:color w:val="000000"/>
                <w:sz w:val="24"/>
              </w:rPr>
            </w:r>
            <w:r/>
          </w:p>
        </w:tc>
        <w:tc>
          <w:tcPr>
            <w:tcW w:w="1264" w:type="dxa"/>
            <w:vAlign w:val="center"/>
            <w:textDirection w:val="lrTb"/>
            <w:noWrap w:val="false"/>
          </w:tcPr>
          <w:p>
            <w:pPr>
              <w:pStyle w:val="1070"/>
              <w:jc w:val="left"/>
              <w:widowControl/>
              <w:rPr>
                <w:color w:val="000000"/>
                <w:sz w:val="24"/>
              </w:rPr>
            </w:pPr>
            <w:r>
              <w:rPr>
                <w:color w:val="000000"/>
                <w:sz w:val="24"/>
              </w:rPr>
              <w:t xml:space="preserve">响应完整性</w:t>
            </w:r>
            <w:r>
              <w:rPr>
                <w:color w:val="000000"/>
                <w:sz w:val="24"/>
              </w:rPr>
            </w:r>
            <w:r/>
          </w:p>
        </w:tc>
        <w:tc>
          <w:tcPr>
            <w:tcW w:w="3350" w:type="dxa"/>
            <w:vAlign w:val="center"/>
            <w:textDirection w:val="lrTb"/>
            <w:noWrap w:val="false"/>
          </w:tcPr>
          <w:p>
            <w:pPr>
              <w:pStyle w:val="1070"/>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60"/>
        </w:trPr>
        <w:tc>
          <w:tcPr>
            <w:tcW w:w="385" w:type="dxa"/>
            <w:vAlign w:val="center"/>
            <w:textDirection w:val="lrTb"/>
            <w:noWrap w:val="false"/>
          </w:tcPr>
          <w:p>
            <w:pPr>
              <w:pStyle w:val="1070"/>
              <w:jc w:val="center"/>
              <w:widowControl/>
              <w:rPr>
                <w:color w:val="000000"/>
                <w:sz w:val="24"/>
              </w:rPr>
            </w:pPr>
            <w:r>
              <w:rPr>
                <w:color w:val="000000"/>
                <w:sz w:val="24"/>
              </w:rPr>
              <w:t xml:space="preserve">3</w:t>
            </w:r>
            <w:r>
              <w:rPr>
                <w:color w:val="000000"/>
                <w:sz w:val="24"/>
              </w:rPr>
            </w:r>
            <w:r/>
          </w:p>
        </w:tc>
        <w:tc>
          <w:tcPr>
            <w:tcW w:w="1264" w:type="dxa"/>
            <w:vAlign w:val="center"/>
            <w:textDirection w:val="lrTb"/>
            <w:noWrap w:val="false"/>
          </w:tcPr>
          <w:p>
            <w:pPr>
              <w:pStyle w:val="1070"/>
              <w:jc w:val="left"/>
              <w:widowControl/>
              <w:rPr>
                <w:color w:val="000000"/>
                <w:sz w:val="24"/>
              </w:rPr>
            </w:pPr>
            <w:r>
              <w:rPr>
                <w:color w:val="000000"/>
                <w:sz w:val="24"/>
              </w:rPr>
              <w:t xml:space="preserve">响应报价</w:t>
            </w:r>
            <w:r>
              <w:rPr>
                <w:color w:val="000000"/>
                <w:sz w:val="24"/>
              </w:rPr>
            </w:r>
            <w:r/>
          </w:p>
        </w:tc>
        <w:tc>
          <w:tcPr>
            <w:tcW w:w="3350" w:type="dxa"/>
            <w:vAlign w:val="center"/>
            <w:textDirection w:val="lrTb"/>
            <w:noWrap w:val="false"/>
          </w:tcPr>
          <w:p>
            <w:pPr>
              <w:pStyle w:val="1070"/>
              <w:jc w:val="left"/>
              <w:widowControl/>
              <w:rPr>
                <w:color w:val="000000"/>
                <w:sz w:val="24"/>
              </w:rPr>
            </w:pPr>
            <w:r>
              <w:rPr>
                <w:rFonts w:hint="eastAsia" w:cs="Calibri"/>
                <w:b/>
                <w:bCs/>
                <w:color w:val="000000"/>
                <w:sz w:val="24"/>
              </w:rPr>
              <w:t xml:space="preserve">响应报价未超过磋商文件中规定的最高限价；</w:t>
            </w:r>
            <w:r>
              <w:rPr>
                <w:color w:val="000000"/>
                <w:sz w:val="24"/>
              </w:rPr>
            </w:r>
            <w:r/>
          </w:p>
        </w:tc>
      </w:tr>
      <w:tr>
        <w:trPr>
          <w:trHeight w:val="685"/>
        </w:trPr>
        <w:tc>
          <w:tcPr>
            <w:tcW w:w="385" w:type="dxa"/>
            <w:vAlign w:val="center"/>
            <w:textDirection w:val="lrTb"/>
            <w:noWrap w:val="false"/>
          </w:tcPr>
          <w:p>
            <w:pPr>
              <w:pStyle w:val="1070"/>
              <w:jc w:val="center"/>
              <w:widowControl/>
              <w:rPr>
                <w:color w:val="000000"/>
                <w:sz w:val="24"/>
              </w:rPr>
            </w:pPr>
            <w:r>
              <w:rPr>
                <w:color w:val="000000"/>
                <w:sz w:val="24"/>
              </w:rPr>
              <w:t xml:space="preserve">4</w:t>
            </w:r>
            <w:r>
              <w:rPr>
                <w:color w:val="000000"/>
                <w:sz w:val="24"/>
              </w:rPr>
            </w:r>
            <w:r/>
          </w:p>
        </w:tc>
        <w:tc>
          <w:tcPr>
            <w:tcW w:w="1264" w:type="dxa"/>
            <w:vAlign w:val="center"/>
            <w:textDirection w:val="lrTb"/>
            <w:noWrap w:val="false"/>
          </w:tcPr>
          <w:p>
            <w:pPr>
              <w:pStyle w:val="1070"/>
              <w:jc w:val="left"/>
              <w:widowControl/>
              <w:rPr>
                <w:color w:val="000000"/>
                <w:sz w:val="24"/>
              </w:rPr>
            </w:pPr>
            <w:r>
              <w:rPr>
                <w:color w:val="000000"/>
                <w:sz w:val="24"/>
              </w:rPr>
              <w:t xml:space="preserve">报价唯一性</w:t>
            </w:r>
            <w:r>
              <w:rPr>
                <w:color w:val="000000"/>
                <w:sz w:val="24"/>
              </w:rPr>
            </w:r>
            <w:r/>
          </w:p>
        </w:tc>
        <w:tc>
          <w:tcPr>
            <w:tcW w:w="3350" w:type="dxa"/>
            <w:vAlign w:val="center"/>
            <w:textDirection w:val="lrTb"/>
            <w:noWrap w:val="false"/>
          </w:tcPr>
          <w:p>
            <w:pPr>
              <w:pStyle w:val="1070"/>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385" w:type="dxa"/>
            <w:vAlign w:val="center"/>
            <w:textDirection w:val="lrTb"/>
            <w:noWrap w:val="false"/>
          </w:tcPr>
          <w:p>
            <w:pPr>
              <w:pStyle w:val="1070"/>
              <w:jc w:val="center"/>
              <w:widowControl/>
              <w:rPr>
                <w:color w:val="000000"/>
                <w:sz w:val="24"/>
              </w:rPr>
            </w:pPr>
            <w:r>
              <w:rPr>
                <w:color w:val="000000"/>
                <w:sz w:val="24"/>
              </w:rPr>
              <w:t xml:space="preserve">5</w:t>
            </w:r>
            <w:r>
              <w:rPr>
                <w:color w:val="000000"/>
                <w:sz w:val="24"/>
              </w:rPr>
            </w:r>
            <w:r/>
          </w:p>
        </w:tc>
        <w:tc>
          <w:tcPr>
            <w:tcW w:w="1264" w:type="dxa"/>
            <w:vAlign w:val="center"/>
            <w:textDirection w:val="lrTb"/>
            <w:noWrap w:val="false"/>
          </w:tcPr>
          <w:p>
            <w:pPr>
              <w:pStyle w:val="1070"/>
              <w:jc w:val="left"/>
              <w:widowControl/>
              <w:rPr>
                <w:color w:val="000000"/>
                <w:sz w:val="24"/>
              </w:rPr>
            </w:pPr>
            <w:r>
              <w:rPr>
                <w:color w:val="000000"/>
                <w:sz w:val="24"/>
              </w:rPr>
              <w:t xml:space="preserve">响应有效期</w:t>
            </w:r>
            <w:r>
              <w:rPr>
                <w:color w:val="000000"/>
                <w:sz w:val="24"/>
              </w:rPr>
            </w:r>
            <w:r/>
          </w:p>
        </w:tc>
        <w:tc>
          <w:tcPr>
            <w:tcW w:w="3350" w:type="dxa"/>
            <w:vAlign w:val="center"/>
            <w:textDirection w:val="lrTb"/>
            <w:noWrap w:val="false"/>
          </w:tcPr>
          <w:p>
            <w:pPr>
              <w:pStyle w:val="1070"/>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385" w:type="dxa"/>
            <w:vAlign w:val="center"/>
            <w:textDirection w:val="lrTb"/>
            <w:noWrap w:val="false"/>
          </w:tcPr>
          <w:p>
            <w:pPr>
              <w:pStyle w:val="1070"/>
              <w:jc w:val="center"/>
              <w:widowControl/>
              <w:rPr>
                <w:color w:val="000000"/>
                <w:sz w:val="24"/>
              </w:rPr>
            </w:pPr>
            <w:r>
              <w:rPr>
                <w:color w:val="000000"/>
                <w:sz w:val="24"/>
              </w:rPr>
              <w:t xml:space="preserve">6</w:t>
            </w:r>
            <w:r>
              <w:rPr>
                <w:color w:val="000000"/>
                <w:sz w:val="24"/>
              </w:rPr>
            </w:r>
            <w:r/>
          </w:p>
        </w:tc>
        <w:tc>
          <w:tcPr>
            <w:tcW w:w="1264" w:type="dxa"/>
            <w:vAlign w:val="center"/>
            <w:textDirection w:val="lrTb"/>
            <w:noWrap w:val="false"/>
          </w:tcPr>
          <w:p>
            <w:pPr>
              <w:pStyle w:val="1070"/>
              <w:jc w:val="left"/>
              <w:widowControl/>
              <w:rPr>
                <w:color w:val="000000"/>
                <w:sz w:val="24"/>
              </w:rPr>
            </w:pPr>
            <w:r>
              <w:rPr>
                <w:color w:val="000000"/>
                <w:sz w:val="24"/>
              </w:rPr>
              <w:t xml:space="preserve">签署、加盖公章</w:t>
            </w:r>
            <w:r>
              <w:rPr>
                <w:color w:val="000000"/>
                <w:sz w:val="24"/>
              </w:rPr>
            </w:r>
            <w:r/>
          </w:p>
        </w:tc>
        <w:tc>
          <w:tcPr>
            <w:tcW w:w="3350" w:type="dxa"/>
            <w:vAlign w:val="center"/>
            <w:textDirection w:val="lrTb"/>
            <w:noWrap w:val="false"/>
          </w:tcPr>
          <w:p>
            <w:pPr>
              <w:pStyle w:val="1070"/>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385" w:type="dxa"/>
            <w:vAlign w:val="center"/>
            <w:textDirection w:val="lrTb"/>
            <w:noWrap w:val="false"/>
          </w:tcPr>
          <w:p>
            <w:pPr>
              <w:pStyle w:val="1070"/>
              <w:jc w:val="center"/>
              <w:widowControl/>
              <w:rPr>
                <w:color w:val="000000"/>
                <w:sz w:val="24"/>
              </w:rPr>
            </w:pPr>
            <w:r>
              <w:rPr>
                <w:rFonts w:hint="eastAsia"/>
                <w:color w:val="000000"/>
                <w:sz w:val="24"/>
              </w:rPr>
              <w:t xml:space="preserve">7</w:t>
            </w:r>
            <w:r>
              <w:rPr>
                <w:color w:val="000000"/>
                <w:sz w:val="24"/>
              </w:rPr>
            </w:r>
            <w:r/>
          </w:p>
        </w:tc>
        <w:tc>
          <w:tcPr>
            <w:tcW w:w="2344" w:type="dxa"/>
            <w:vAlign w:val="center"/>
            <w:textDirection w:val="lrTb"/>
            <w:noWrap w:val="false"/>
          </w:tcPr>
          <w:p>
            <w:pPr>
              <w:pStyle w:val="1070"/>
              <w:jc w:val="left"/>
              <w:widowControl/>
              <w:rPr>
                <w:color w:val="000000"/>
                <w:sz w:val="24"/>
              </w:rPr>
            </w:pPr>
            <w:r>
              <w:rPr>
                <w:rFonts w:hint="eastAsia"/>
                <w:color w:val="000000"/>
                <w:sz w:val="24"/>
              </w:rPr>
              <w:t xml:space="preserve">实质性格式</w:t>
            </w:r>
            <w:r>
              <w:rPr>
                <w:rFonts w:hint="eastAsia"/>
                <w:color w:val="000000"/>
                <w:sz w:val="24"/>
                <w:lang w:val="en-US" w:eastAsia="zh-CN"/>
              </w:rPr>
              <w:t xml:space="preserve">及带“</w:t>
            </w:r>
            <w:r>
              <w:rPr>
                <w:rFonts w:hint="eastAsia" w:ascii="宋体" w:hAnsi="宋体" w:eastAsia="宋体" w:cs="宋体"/>
                <w:sz w:val="24"/>
                <w:lang w:val="en-US" w:eastAsia="zh-CN"/>
              </w:rPr>
              <w:t xml:space="preserve">★</w:t>
            </w:r>
            <w:r>
              <w:rPr>
                <w:rFonts w:hint="eastAsia"/>
                <w:color w:val="000000"/>
                <w:sz w:val="24"/>
                <w:lang w:val="en-US" w:eastAsia="zh-CN"/>
              </w:rPr>
              <w:t xml:space="preserve">”文件</w:t>
            </w:r>
            <w:r>
              <w:rPr>
                <w:color w:val="000000"/>
                <w:sz w:val="24"/>
              </w:rPr>
            </w:r>
            <w:r/>
          </w:p>
        </w:tc>
        <w:tc>
          <w:tcPr>
            <w:tcW w:w="6212" w:type="dxa"/>
            <w:vAlign w:val="center"/>
            <w:textDirection w:val="lrTb"/>
            <w:noWrap w:val="false"/>
          </w:tcPr>
          <w:p>
            <w:pPr>
              <w:pStyle w:val="1070"/>
              <w:jc w:val="left"/>
              <w:widowControl/>
              <w:rPr>
                <w:color w:val="000000"/>
                <w:sz w:val="24"/>
              </w:rPr>
            </w:pPr>
            <w:r>
              <w:rPr>
                <w:rFonts w:hint="eastAsia"/>
                <w:sz w:val="24"/>
              </w:rPr>
              <w:t xml:space="preserve">标记为</w:t>
            </w:r>
            <w:r>
              <w:rPr>
                <w:sz w:val="24"/>
              </w:rPr>
              <w:t xml:space="preserve">“实质性格式”</w:t>
            </w:r>
            <w:r>
              <w:rPr>
                <w:rFonts w:hint="eastAsia"/>
                <w:sz w:val="24"/>
                <w:lang w:val="en-US" w:eastAsia="zh-CN"/>
              </w:rPr>
              <w:t xml:space="preserve">及带“</w:t>
            </w:r>
            <w:r>
              <w:rPr>
                <w:rFonts w:hint="eastAsia" w:ascii="宋体" w:hAnsi="宋体" w:eastAsia="宋体" w:cs="宋体"/>
                <w:sz w:val="24"/>
                <w:lang w:val="en-US" w:eastAsia="zh-CN"/>
              </w:rPr>
              <w:t xml:space="preserve">★</w:t>
            </w:r>
            <w:r>
              <w:rPr>
                <w:rFonts w:hint="eastAsia"/>
                <w:sz w:val="24"/>
                <w:lang w:val="en-US" w:eastAsia="zh-CN"/>
              </w:rPr>
              <w:t xml:space="preserve">”</w:t>
            </w:r>
            <w:r>
              <w:rPr>
                <w:sz w:val="24"/>
              </w:rPr>
              <w:t xml:space="preserve">的</w:t>
            </w:r>
            <w:r>
              <w:rPr>
                <w:rFonts w:hint="eastAsia"/>
                <w:sz w:val="24"/>
              </w:rPr>
              <w:t xml:space="preserve">文件均按</w:t>
            </w:r>
            <w:r>
              <w:rPr>
                <w:sz w:val="24"/>
              </w:rPr>
              <w:t xml:space="preserve">磋商文件</w:t>
            </w:r>
            <w:r>
              <w:rPr>
                <w:rFonts w:hint="eastAsia"/>
                <w:sz w:val="24"/>
              </w:rPr>
              <w:t xml:space="preserve">要求提供；</w:t>
            </w:r>
            <w:r>
              <w:rPr>
                <w:color w:val="000000"/>
                <w:sz w:val="24"/>
              </w:rPr>
            </w:r>
            <w:r/>
          </w:p>
        </w:tc>
      </w:tr>
      <w:tr>
        <w:trPr>
          <w:trHeight w:val="953"/>
        </w:trPr>
        <w:tc>
          <w:tcPr>
            <w:tcW w:w="385" w:type="dxa"/>
            <w:vAlign w:val="center"/>
            <w:textDirection w:val="lrTb"/>
            <w:noWrap w:val="false"/>
          </w:tcPr>
          <w:p>
            <w:pPr>
              <w:pStyle w:val="1070"/>
              <w:jc w:val="center"/>
              <w:widowControl/>
              <w:rPr>
                <w:rFonts w:hint="eastAsia"/>
                <w:color w:val="000000"/>
                <w:sz w:val="24"/>
              </w:rPr>
            </w:pPr>
            <w:r>
              <w:rPr>
                <w:rFonts w:hint="eastAsia"/>
                <w:color w:val="000000"/>
                <w:sz w:val="24"/>
              </w:rPr>
              <w:t xml:space="preserve">8</w:t>
            </w:r>
            <w:r>
              <w:rPr>
                <w:rFonts w:hint="eastAsia"/>
                <w:color w:val="000000"/>
                <w:sz w:val="24"/>
              </w:rPr>
            </w:r>
            <w:r/>
          </w:p>
        </w:tc>
        <w:tc>
          <w:tcPr>
            <w:tcW w:w="1264" w:type="dxa"/>
            <w:vAlign w:val="center"/>
            <w:textDirection w:val="lrTb"/>
            <w:noWrap w:val="false"/>
          </w:tcPr>
          <w:p>
            <w:pPr>
              <w:pStyle w:val="1070"/>
              <w:jc w:val="left"/>
              <w:widowControl/>
              <w:rPr>
                <w:color w:val="000000"/>
                <w:sz w:val="24"/>
              </w:rPr>
            </w:pPr>
            <w:r>
              <w:rPr>
                <w:color w:val="000000"/>
                <w:sz w:val="24"/>
              </w:rPr>
              <w:t xml:space="preserve">公平竞争</w:t>
            </w:r>
            <w:r>
              <w:rPr>
                <w:color w:val="000000"/>
                <w:sz w:val="24"/>
              </w:rPr>
            </w:r>
            <w:r/>
          </w:p>
        </w:tc>
        <w:tc>
          <w:tcPr>
            <w:tcW w:w="3350" w:type="dxa"/>
            <w:vAlign w:val="center"/>
            <w:textDirection w:val="lrTb"/>
            <w:noWrap w:val="false"/>
          </w:tcPr>
          <w:p>
            <w:pPr>
              <w:pStyle w:val="1070"/>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385" w:type="dxa"/>
            <w:vAlign w:val="center"/>
            <w:textDirection w:val="lrTb"/>
            <w:noWrap w:val="false"/>
          </w:tcPr>
          <w:p>
            <w:pPr>
              <w:pStyle w:val="1070"/>
              <w:jc w:val="center"/>
              <w:widowControl/>
              <w:rPr>
                <w:rFonts w:hint="eastAsia"/>
                <w:color w:val="000000"/>
                <w:sz w:val="24"/>
              </w:rPr>
            </w:pPr>
            <w:r>
              <w:rPr>
                <w:rFonts w:hint="eastAsia"/>
                <w:color w:val="000000"/>
                <w:sz w:val="24"/>
              </w:rPr>
              <w:t xml:space="preserve">9</w:t>
            </w:r>
            <w:r>
              <w:rPr>
                <w:rFonts w:hint="eastAsia"/>
                <w:color w:val="000000"/>
                <w:sz w:val="24"/>
              </w:rPr>
            </w:r>
            <w:r/>
          </w:p>
        </w:tc>
        <w:tc>
          <w:tcPr>
            <w:tcW w:w="1264" w:type="dxa"/>
            <w:vAlign w:val="center"/>
            <w:textDirection w:val="lrTb"/>
            <w:noWrap w:val="false"/>
          </w:tcPr>
          <w:p>
            <w:pPr>
              <w:pStyle w:val="1070"/>
              <w:jc w:val="left"/>
              <w:widowControl/>
              <w:rPr>
                <w:color w:val="000000"/>
                <w:sz w:val="24"/>
              </w:rPr>
            </w:pPr>
            <w:r>
              <w:rPr>
                <w:color w:val="000000"/>
                <w:sz w:val="24"/>
              </w:rPr>
              <w:t xml:space="preserve">串通响应</w:t>
            </w:r>
            <w:r>
              <w:rPr>
                <w:color w:val="000000"/>
                <w:sz w:val="24"/>
              </w:rPr>
            </w:r>
            <w:r/>
          </w:p>
        </w:tc>
        <w:tc>
          <w:tcPr>
            <w:tcW w:w="3350" w:type="dxa"/>
            <w:vAlign w:val="center"/>
            <w:textDirection w:val="lrTb"/>
            <w:noWrap w:val="false"/>
          </w:tcPr>
          <w:p>
            <w:pPr>
              <w:pStyle w:val="1070"/>
              <w:jc w:val="left"/>
              <w:widowControl/>
              <w:rPr>
                <w:rFonts w:hint="eastAsia"/>
                <w:color w:val="000000"/>
                <w:sz w:val="24"/>
              </w:rPr>
            </w:pPr>
            <w:r>
              <w:rPr>
                <w:rFonts w:hint="eastAsia"/>
                <w:color w:val="000000"/>
                <w:sz w:val="24"/>
              </w:rPr>
              <w:t xml:space="preserve">不存在《政府采购货物和服务招标响应管理办法》视为供应商串通响应的情形：</w:t>
            </w:r>
            <w:r>
              <w:rPr>
                <w:rFonts w:hint="eastAsia"/>
                <w:color w:val="000000"/>
                <w:sz w:val="24"/>
              </w:rPr>
            </w:r>
            <w:r/>
          </w:p>
          <w:p>
            <w:pPr>
              <w:pStyle w:val="1070"/>
              <w:numPr>
                <w:ilvl w:val="0"/>
                <w:numId w:val="9"/>
              </w:numPr>
              <w:jc w:val="left"/>
              <w:widowControl/>
              <w:rPr>
                <w:rFonts w:hint="eastAsia"/>
                <w:color w:val="000000"/>
                <w:sz w:val="24"/>
              </w:rPr>
            </w:pPr>
            <w:r>
              <w:rPr>
                <w:rFonts w:hint="eastAsia"/>
                <w:color w:val="000000"/>
                <w:sz w:val="24"/>
              </w:rPr>
              <w:t xml:space="preserve">不同供应商的响应文件由同一单位或者个人编制（包含使用同一MAC地址的计算机制作电子响应文件的情形）；</w:t>
            </w:r>
            <w:r>
              <w:rPr>
                <w:rFonts w:hint="eastAsia"/>
                <w:color w:val="000000"/>
                <w:sz w:val="24"/>
              </w:rPr>
            </w:r>
            <w:r/>
          </w:p>
          <w:p>
            <w:pPr>
              <w:pStyle w:val="1070"/>
              <w:numPr>
                <w:ilvl w:val="0"/>
                <w:numId w:val="9"/>
              </w:numPr>
              <w:ind w:left="0" w:firstLine="0"/>
              <w:jc w:val="left"/>
              <w:widowControl/>
              <w:rPr>
                <w:rFonts w:hint="eastAsia"/>
                <w:color w:val="000000"/>
                <w:sz w:val="24"/>
              </w:rPr>
            </w:pPr>
            <w:r>
              <w:rPr>
                <w:rFonts w:hint="eastAsia"/>
                <w:color w:val="000000"/>
                <w:sz w:val="24"/>
              </w:rPr>
              <w:t xml:space="preserve">不同供应商委托同一单位或者个人办理响应事宜（包含使用同一MAC地址的计算机提交或者解密电子响应文件的情形）；</w:t>
            </w:r>
            <w:r>
              <w:rPr>
                <w:rFonts w:hint="eastAsia"/>
                <w:color w:val="000000"/>
                <w:sz w:val="24"/>
              </w:rPr>
            </w:r>
            <w:r/>
          </w:p>
          <w:p>
            <w:pPr>
              <w:pStyle w:val="1070"/>
              <w:numPr>
                <w:ilvl w:val="0"/>
                <w:numId w:val="9"/>
              </w:numPr>
              <w:ind w:left="0" w:firstLine="0"/>
              <w:jc w:val="left"/>
              <w:widowControl/>
              <w:rPr>
                <w:rFonts w:hint="eastAsia"/>
                <w:color w:val="000000"/>
                <w:sz w:val="24"/>
              </w:rPr>
            </w:pPr>
            <w:r>
              <w:rPr>
                <w:rFonts w:hint="eastAsia"/>
                <w:color w:val="000000"/>
                <w:sz w:val="24"/>
              </w:rPr>
              <w:t xml:space="preserve">不同供应商的响应文件载明的项目管理成员或者联系人员为同一人；</w:t>
            </w:r>
            <w:r>
              <w:rPr>
                <w:rFonts w:hint="eastAsia"/>
                <w:color w:val="000000"/>
                <w:sz w:val="24"/>
              </w:rPr>
            </w:r>
            <w:r/>
          </w:p>
          <w:p>
            <w:pPr>
              <w:pStyle w:val="1070"/>
              <w:numPr>
                <w:ilvl w:val="0"/>
                <w:numId w:val="9"/>
              </w:numPr>
              <w:ind w:left="0" w:firstLine="0"/>
              <w:jc w:val="left"/>
              <w:widowControl/>
              <w:rPr>
                <w:rFonts w:hint="eastAsia"/>
                <w:color w:val="000000"/>
                <w:sz w:val="24"/>
              </w:rPr>
            </w:pPr>
            <w:r>
              <w:rPr>
                <w:rFonts w:hint="eastAsia"/>
                <w:color w:val="000000"/>
                <w:sz w:val="24"/>
              </w:rPr>
              <w:t xml:space="preserve">不同供应商的响应文件异常一致或者响应报价呈规律性差异；</w:t>
            </w:r>
            <w:r>
              <w:rPr>
                <w:rFonts w:hint="eastAsia"/>
                <w:color w:val="000000"/>
                <w:sz w:val="24"/>
              </w:rPr>
            </w:r>
            <w:r/>
          </w:p>
          <w:p>
            <w:pPr>
              <w:pStyle w:val="1070"/>
              <w:numPr>
                <w:ilvl w:val="0"/>
                <w:numId w:val="9"/>
              </w:numPr>
              <w:ind w:left="0" w:firstLine="0"/>
              <w:jc w:val="left"/>
              <w:widowControl/>
              <w:rPr>
                <w:rFonts w:hint="eastAsia"/>
                <w:color w:val="000000"/>
                <w:sz w:val="24"/>
              </w:rPr>
            </w:pPr>
            <w:r>
              <w:rPr>
                <w:rFonts w:hint="eastAsia"/>
                <w:color w:val="000000"/>
                <w:sz w:val="24"/>
              </w:rPr>
              <w:t xml:space="preserve">不同供应商的响应文件相互混装；</w:t>
            </w:r>
            <w:r>
              <w:rPr>
                <w:rFonts w:hint="eastAsia"/>
                <w:color w:val="000000"/>
                <w:sz w:val="24"/>
              </w:rPr>
            </w:r>
            <w:r/>
          </w:p>
          <w:p>
            <w:pPr>
              <w:pStyle w:val="1070"/>
              <w:numPr>
                <w:ilvl w:val="0"/>
                <w:numId w:val="0"/>
              </w:numPr>
              <w:jc w:val="left"/>
              <w:widowControl/>
              <w:rPr>
                <w:color w:val="000000"/>
                <w:sz w:val="24"/>
              </w:rPr>
            </w:pPr>
            <w:r>
              <w:rPr>
                <w:rFonts w:hint="eastAsia"/>
                <w:color w:val="000000"/>
                <w:sz w:val="24"/>
              </w:rPr>
              <w:t xml:space="preserve">（六）不同供应商的响应保证金从同一单位或者个人的账户转出；</w:t>
            </w:r>
            <w:r>
              <w:rPr>
                <w:color w:val="000000"/>
                <w:sz w:val="24"/>
              </w:rPr>
            </w:r>
            <w:r/>
          </w:p>
        </w:tc>
      </w:tr>
      <w:tr>
        <w:trPr>
          <w:trHeight w:val="685"/>
        </w:trPr>
        <w:tc>
          <w:tcPr>
            <w:tcW w:w="385" w:type="dxa"/>
            <w:vAlign w:val="center"/>
            <w:textDirection w:val="lrTb"/>
            <w:noWrap w:val="false"/>
          </w:tcPr>
          <w:p>
            <w:pPr>
              <w:pStyle w:val="1070"/>
              <w:jc w:val="center"/>
              <w:widowControl/>
              <w:rPr>
                <w:color w:val="000000"/>
                <w:sz w:val="24"/>
              </w:rPr>
            </w:pPr>
            <w:r>
              <w:rPr>
                <w:rFonts w:hint="eastAsia"/>
                <w:color w:val="000000"/>
                <w:sz w:val="24"/>
              </w:rPr>
              <w:t xml:space="preserve">10</w:t>
            </w:r>
            <w:r>
              <w:rPr>
                <w:color w:val="000000"/>
                <w:sz w:val="24"/>
              </w:rPr>
            </w:r>
            <w:r/>
          </w:p>
        </w:tc>
        <w:tc>
          <w:tcPr>
            <w:tcW w:w="1264" w:type="dxa"/>
            <w:vAlign w:val="center"/>
            <w:textDirection w:val="lrTb"/>
            <w:noWrap w:val="false"/>
          </w:tcPr>
          <w:p>
            <w:pPr>
              <w:pStyle w:val="1070"/>
              <w:jc w:val="left"/>
              <w:widowControl/>
              <w:rPr>
                <w:color w:val="000000"/>
                <w:sz w:val="24"/>
              </w:rPr>
            </w:pPr>
            <w:r>
              <w:rPr>
                <w:color w:val="000000"/>
                <w:sz w:val="24"/>
              </w:rPr>
              <w:t xml:space="preserve">附加条件</w:t>
            </w:r>
            <w:r>
              <w:rPr>
                <w:color w:val="000000"/>
                <w:sz w:val="24"/>
              </w:rPr>
            </w:r>
            <w:r/>
          </w:p>
        </w:tc>
        <w:tc>
          <w:tcPr>
            <w:tcW w:w="3350" w:type="dxa"/>
            <w:vAlign w:val="center"/>
            <w:textDirection w:val="lrTb"/>
            <w:noWrap w:val="false"/>
          </w:tcPr>
          <w:p>
            <w:pPr>
              <w:pStyle w:val="1070"/>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85" w:type="dxa"/>
            <w:vAlign w:val="center"/>
            <w:textDirection w:val="lrTb"/>
            <w:noWrap w:val="false"/>
          </w:tcPr>
          <w:p>
            <w:pPr>
              <w:pStyle w:val="1070"/>
              <w:jc w:val="center"/>
              <w:widowControl/>
              <w:rPr>
                <w:rFonts w:hint="eastAsia"/>
                <w:color w:val="000000"/>
                <w:sz w:val="24"/>
              </w:rPr>
            </w:pPr>
            <w:r>
              <w:rPr>
                <w:rFonts w:hint="eastAsia"/>
                <w:color w:val="000000"/>
                <w:sz w:val="24"/>
              </w:rPr>
              <w:t xml:space="preserve">11</w:t>
            </w:r>
            <w:r>
              <w:rPr>
                <w:rFonts w:hint="eastAsia"/>
                <w:color w:val="000000"/>
                <w:sz w:val="24"/>
              </w:rPr>
            </w:r>
            <w:r/>
          </w:p>
        </w:tc>
        <w:tc>
          <w:tcPr>
            <w:tcW w:w="1264" w:type="dxa"/>
            <w:vAlign w:val="center"/>
            <w:textDirection w:val="lrTb"/>
            <w:noWrap w:val="false"/>
          </w:tcPr>
          <w:p>
            <w:pPr>
              <w:pStyle w:val="1070"/>
              <w:jc w:val="left"/>
              <w:widowControl/>
              <w:rPr>
                <w:color w:val="000000"/>
                <w:sz w:val="24"/>
              </w:rPr>
            </w:pPr>
            <w:r>
              <w:rPr>
                <w:color w:val="000000"/>
                <w:sz w:val="24"/>
              </w:rPr>
              <w:t xml:space="preserve">其他无效情形</w:t>
            </w:r>
            <w:r>
              <w:rPr>
                <w:color w:val="000000"/>
                <w:sz w:val="24"/>
              </w:rPr>
            </w:r>
            <w:r/>
          </w:p>
        </w:tc>
        <w:tc>
          <w:tcPr>
            <w:tcW w:w="3350" w:type="dxa"/>
            <w:vAlign w:val="center"/>
            <w:textDirection w:val="lrTb"/>
            <w:noWrap w:val="false"/>
          </w:tcPr>
          <w:p>
            <w:pPr>
              <w:pStyle w:val="1070"/>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1070"/>
        <w:spacing w:line="360" w:lineRule="auto"/>
        <w:tabs>
          <w:tab w:val="left" w:pos="360" w:leader="none"/>
        </w:tabs>
        <w:rPr>
          <w:b/>
          <w:bCs/>
          <w:sz w:val="24"/>
        </w:rPr>
        <w:outlineLvl w:val="1"/>
      </w:pPr>
      <w:r>
        <w:rPr>
          <w:rFonts w:hint="eastAsia"/>
          <w:b/>
          <w:bCs/>
          <w:sz w:val="24"/>
        </w:rPr>
        <w:t xml:space="preserve">注：提供符合性审查承诺书，格式见采购文件。</w:t>
      </w:r>
      <w:r>
        <w:rPr>
          <w:b/>
          <w:bCs/>
          <w:sz w:val="24"/>
        </w:rPr>
      </w:r>
      <w:r/>
    </w:p>
    <w:p>
      <w:pPr>
        <w:pStyle w:val="1070"/>
        <w:spacing w:line="360" w:lineRule="auto"/>
        <w:tabs>
          <w:tab w:val="left" w:pos="360" w:leader="none"/>
        </w:tabs>
        <w:rPr>
          <w:sz w:val="24"/>
        </w:rPr>
        <w:outlineLvl w:val="1"/>
      </w:pPr>
      <w:r>
        <w:rPr>
          <w:rFonts w:hint="eastAsia"/>
          <w:sz w:val="24"/>
          <w:lang w:eastAsia="zh-CN"/>
        </w:rPr>
        <w:t xml:space="preserve">2.</w:t>
      </w:r>
      <w:r>
        <w:rPr>
          <w:sz w:val="24"/>
        </w:rPr>
        <w:t xml:space="preserve">磋商、响应文件有关事项的澄清、说明或者更正和最终报价</w:t>
      </w:r>
      <w:r>
        <w:rPr>
          <w:sz w:val="24"/>
        </w:rPr>
      </w:r>
      <w:r/>
    </w:p>
    <w:p>
      <w:pPr>
        <w:pStyle w:val="1070"/>
        <w:ind w:firstLine="480"/>
        <w:spacing w:line="360" w:lineRule="auto"/>
        <w:tabs>
          <w:tab w:val="left" w:pos="1080" w:leader="none"/>
        </w:tabs>
        <w:rPr>
          <w:sz w:val="24"/>
        </w:rPr>
      </w:pPr>
      <w:r>
        <w:rPr>
          <w:rFonts w:hint="eastAsia"/>
          <w:sz w:val="24"/>
        </w:rPr>
        <w:t xml:space="preserve">2.1、</w:t>
      </w:r>
      <w:r>
        <w:rPr>
          <w:sz w:val="24"/>
        </w:rPr>
        <w:t xml:space="preserve">磋商小组所有成员应当集中与单一供应商分别进行磋商，并给予所有参加磋商的供应商平等的磋商机会。</w:t>
      </w:r>
      <w:r>
        <w:rPr>
          <w:sz w:val="24"/>
        </w:rPr>
      </w:r>
      <w:r/>
    </w:p>
    <w:p>
      <w:pPr>
        <w:pStyle w:val="1070"/>
        <w:ind w:firstLine="480"/>
        <w:spacing w:line="360" w:lineRule="auto"/>
        <w:tabs>
          <w:tab w:val="left" w:pos="1080" w:leader="none"/>
          <w:tab w:val="left" w:pos="1872" w:leader="none"/>
        </w:tabs>
        <w:rPr>
          <w:sz w:val="24"/>
        </w:rPr>
      </w:pPr>
      <w:r>
        <w:rPr>
          <w:rFonts w:hint="eastAsia"/>
          <w:sz w:val="24"/>
        </w:rPr>
        <w:t xml:space="preserve">2.2、</w:t>
      </w: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070"/>
        <w:ind w:firstLine="480"/>
        <w:spacing w:line="360" w:lineRule="auto"/>
        <w:tabs>
          <w:tab w:val="left" w:pos="1080" w:leader="none"/>
          <w:tab w:val="left" w:pos="1872" w:leader="none"/>
        </w:tabs>
        <w:rPr>
          <w:sz w:val="24"/>
        </w:rPr>
      </w:pPr>
      <w:r>
        <w:rPr>
          <w:rFonts w:hint="eastAsia"/>
          <w:sz w:val="24"/>
        </w:rPr>
        <w:t xml:space="preserve">2.3、</w:t>
      </w:r>
      <w:r>
        <w:rPr>
          <w:sz w:val="24"/>
        </w:rPr>
        <w:t xml:space="preserve">对磋商文件作出的实质性变动是磋商文件的有效组成部分，磋商小组应当及时以书面形式同时通知所有参加磋商的供应商。</w:t>
      </w:r>
      <w:r>
        <w:rPr>
          <w:sz w:val="24"/>
        </w:rPr>
      </w:r>
      <w:r/>
    </w:p>
    <w:p>
      <w:pPr>
        <w:pStyle w:val="1070"/>
        <w:ind w:firstLine="480"/>
        <w:spacing w:line="360" w:lineRule="auto"/>
        <w:tabs>
          <w:tab w:val="left" w:pos="1080" w:leader="none"/>
          <w:tab w:val="left" w:pos="1872" w:leader="none"/>
        </w:tabs>
        <w:rPr>
          <w:sz w:val="24"/>
        </w:rPr>
      </w:pPr>
      <w:r>
        <w:rPr>
          <w:rFonts w:hint="eastAsia"/>
          <w:sz w:val="24"/>
        </w:rPr>
        <w:t xml:space="preserve">2.4、</w:t>
      </w: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070"/>
        <w:ind w:firstLine="480"/>
        <w:spacing w:line="360" w:lineRule="auto"/>
        <w:tabs>
          <w:tab w:val="left" w:pos="1080" w:leader="none"/>
          <w:tab w:val="left" w:pos="1872" w:leader="none"/>
        </w:tabs>
        <w:rPr>
          <w:sz w:val="24"/>
        </w:rPr>
      </w:pPr>
      <w:r>
        <w:rPr>
          <w:rFonts w:hint="eastAsia"/>
          <w:sz w:val="24"/>
        </w:rPr>
        <w:t xml:space="preserve">2.5、</w:t>
      </w:r>
      <w:r>
        <w:rPr>
          <w:sz w:val="24"/>
        </w:rPr>
        <w:t xml:space="preserve">响应文件的澄清、说明或者更正</w:t>
      </w:r>
      <w:r>
        <w:rPr>
          <w:rFonts w:hint="eastAsia"/>
          <w:sz w:val="24"/>
        </w:rPr>
        <w:t xml:space="preserve">：</w:t>
      </w:r>
      <w:r>
        <w:rPr>
          <w:sz w:val="24"/>
        </w:rPr>
      </w:r>
      <w:r/>
    </w:p>
    <w:p>
      <w:pPr>
        <w:pStyle w:val="1070"/>
        <w:ind w:firstLine="4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sz w:val="24"/>
        </w:rPr>
        <w:t xml:space="preserve">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070"/>
        <w:ind w:firstLine="482"/>
        <w:spacing w:line="360" w:lineRule="auto"/>
        <w:tabs>
          <w:tab w:val="left" w:pos="1080" w:leader="none"/>
          <w:tab w:val="left" w:pos="1872" w:leader="none"/>
        </w:tabs>
        <w:rPr>
          <w:b/>
          <w:sz w:val="24"/>
        </w:rPr>
      </w:pPr>
      <w:r>
        <w:rPr>
          <w:rFonts w:hint="eastAsia"/>
          <w:b/>
          <w:sz w:val="24"/>
        </w:rPr>
        <w:t xml:space="preserve">2.6、磋商结束后，磋商小组将要求所有实质性响应的供应商在规定时间内通过“苏采云”系统提交最终报价。最终报价不得高于首次报价。成交人的最终报价即为成交价，成交人在合同签订前，须提交最终报价和相对应的分项报价表（如有），最终的报价不得超过首次的报价。</w:t>
      </w:r>
      <w:r>
        <w:rPr>
          <w:b/>
          <w:sz w:val="24"/>
        </w:rPr>
      </w:r>
      <w:r/>
    </w:p>
    <w:p>
      <w:pPr>
        <w:pStyle w:val="1070"/>
        <w:ind w:firstLine="480"/>
        <w:spacing w:line="360" w:lineRule="auto"/>
        <w:tabs>
          <w:tab w:val="left" w:pos="1080" w:leader="none"/>
          <w:tab w:val="left" w:pos="1872" w:leader="none"/>
        </w:tabs>
        <w:rPr>
          <w:sz w:val="24"/>
        </w:rPr>
      </w:pPr>
      <w:r>
        <w:rPr>
          <w:rFonts w:hint="eastAsia"/>
          <w:sz w:val="24"/>
        </w:rPr>
        <w:t xml:space="preserve">2.7、</w:t>
      </w: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070"/>
        <w:ind w:firstLine="480"/>
        <w:spacing w:line="360" w:lineRule="auto"/>
        <w:tabs>
          <w:tab w:val="left" w:pos="1080" w:leader="none"/>
          <w:tab w:val="left" w:pos="1872" w:leader="none"/>
        </w:tabs>
        <w:rPr>
          <w:sz w:val="24"/>
        </w:rPr>
      </w:pPr>
      <w:r>
        <w:rPr>
          <w:rFonts w:hint="eastAsia"/>
          <w:sz w:val="24"/>
        </w:rPr>
        <w:t xml:space="preserve">2.8、</w:t>
      </w:r>
      <w:r>
        <w:rPr>
          <w:sz w:val="24"/>
        </w:rPr>
        <w:t xml:space="preserve">最终报价是供应商响应文件的有效组成部分。</w:t>
      </w:r>
      <w:r>
        <w:rPr>
          <w:sz w:val="24"/>
        </w:rPr>
      </w:r>
      <w:r/>
    </w:p>
    <w:p>
      <w:pPr>
        <w:pStyle w:val="1070"/>
        <w:ind w:firstLine="480"/>
        <w:spacing w:line="360" w:lineRule="auto"/>
        <w:tabs>
          <w:tab w:val="left" w:pos="1080" w:leader="none"/>
          <w:tab w:val="left" w:pos="1872" w:leader="none"/>
        </w:tabs>
        <w:rPr>
          <w:sz w:val="24"/>
        </w:rPr>
      </w:pPr>
      <w:r>
        <w:rPr>
          <w:rFonts w:hint="eastAsia"/>
          <w:sz w:val="24"/>
        </w:rPr>
        <w:t xml:space="preserve">2.9、</w:t>
      </w:r>
      <w:r>
        <w:rPr>
          <w:sz w:val="24"/>
        </w:rPr>
        <w:t xml:space="preserve">已提交响应文件的供应商，在提交最终报价之前，可以根据磋商情况退出磋商。</w:t>
      </w:r>
      <w:r>
        <w:rPr>
          <w:sz w:val="24"/>
        </w:rPr>
      </w:r>
      <w:r/>
    </w:p>
    <w:p>
      <w:pPr>
        <w:pStyle w:val="1070"/>
        <w:spacing w:line="360" w:lineRule="auto"/>
        <w:tabs>
          <w:tab w:val="left" w:pos="360" w:leader="none"/>
        </w:tabs>
        <w:rPr>
          <w:sz w:val="24"/>
        </w:rPr>
        <w:outlineLvl w:val="1"/>
      </w:pPr>
      <w:r>
        <w:rPr>
          <w:rFonts w:hint="eastAsia"/>
          <w:sz w:val="24"/>
          <w:lang w:eastAsia="zh-CN"/>
        </w:rPr>
        <w:t xml:space="preserve">3.</w:t>
      </w:r>
      <w:r>
        <w:rPr>
          <w:sz w:val="24"/>
        </w:rPr>
        <w:t xml:space="preserve">最终报价的算术修正及政策调整</w:t>
      </w:r>
      <w:r>
        <w:rPr>
          <w:sz w:val="24"/>
        </w:rPr>
      </w:r>
      <w:r/>
    </w:p>
    <w:p>
      <w:pPr>
        <w:pStyle w:val="1070"/>
        <w:ind w:firstLine="480"/>
        <w:spacing w:line="360" w:lineRule="auto"/>
        <w:tabs>
          <w:tab w:val="left" w:pos="1080" w:leader="none"/>
        </w:tabs>
        <w:rPr>
          <w:sz w:val="24"/>
        </w:rPr>
      </w:pPr>
      <w:r>
        <w:rPr>
          <w:rFonts w:hint="eastAsia"/>
          <w:sz w:val="24"/>
        </w:rPr>
        <w:t xml:space="preserve">3.1、</w:t>
      </w: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070"/>
        <w:ind w:firstLine="480"/>
        <w:spacing w:line="360" w:lineRule="auto"/>
        <w:tabs>
          <w:tab w:val="left" w:pos="1080" w:leader="none"/>
          <w:tab w:val="left" w:pos="1872" w:leader="none"/>
        </w:tabs>
        <w:rPr>
          <w:sz w:val="24"/>
        </w:rPr>
      </w:pPr>
      <w:r>
        <w:rPr>
          <w:rFonts w:hint="eastAsia"/>
          <w:sz w:val="24"/>
        </w:rPr>
        <w:t xml:space="preserve">3.2、</w:t>
      </w:r>
      <w:r>
        <w:rPr>
          <w:sz w:val="24"/>
        </w:rPr>
        <w:t xml:space="preserve">最终报价出现前后不一致的，按照下列规定修正：</w:t>
      </w:r>
      <w:r>
        <w:rPr>
          <w:sz w:val="24"/>
        </w:rPr>
      </w:r>
      <w:r/>
    </w:p>
    <w:p>
      <w:pPr>
        <w:pStyle w:val="1070"/>
        <w:ind w:firstLine="480"/>
        <w:spacing w:line="360" w:lineRule="auto"/>
        <w:tabs>
          <w:tab w:val="left" w:pos="1080" w:leader="none"/>
          <w:tab w:val="left" w:pos="1589" w:leader="none"/>
          <w:tab w:val="left" w:pos="2035" w:leader="none"/>
          <w:tab w:val="left" w:pos="2114" w:leader="none"/>
        </w:tabs>
        <w:rPr>
          <w:sz w:val="24"/>
        </w:rPr>
      </w:pPr>
      <w:r>
        <w:rPr>
          <w:rFonts w:hint="eastAsia"/>
          <w:sz w:val="24"/>
        </w:rPr>
        <w:t xml:space="preserve">3.2.1、</w:t>
      </w:r>
      <w:r>
        <w:rPr>
          <w:sz w:val="24"/>
        </w:rPr>
        <w:t xml:space="preserve">竞争性磋商文件对于报价修正是否另有规定：</w:t>
      </w:r>
      <w:r>
        <w:rPr>
          <w:sz w:val="24"/>
        </w:rPr>
      </w:r>
      <w:r/>
    </w:p>
    <w:p>
      <w:pPr>
        <w:pStyle w:val="1070"/>
        <w:ind w:firstLine="480"/>
        <w:spacing w:line="360" w:lineRule="auto"/>
        <w:tabs>
          <w:tab w:val="left" w:pos="1080" w:leader="none"/>
          <w:tab w:val="left" w:pos="1589" w:leader="none"/>
          <w:tab w:val="left" w:pos="2035" w:leader="none"/>
          <w:tab w:val="left" w:pos="2114" w:leader="none"/>
        </w:tabs>
        <w:rPr>
          <w:sz w:val="24"/>
          <w:u w:val="single"/>
        </w:rPr>
      </w:pPr>
      <w:r>
        <w:rPr>
          <w:rFonts w:ascii="Wingdings 2" w:hAnsi="Wingdings 2" w:eastAsia="Wingdings 2" w:cs="Wingdings 2"/>
          <w:sz w:val="24"/>
        </w:rPr>
        <w:t xml:space="preserve">£</w:t>
      </w:r>
      <w:r>
        <w:rPr>
          <w:sz w:val="24"/>
        </w:rPr>
        <w:t xml:space="preserve">有，具体规定为：___________</w:t>
      </w:r>
      <w:r>
        <w:rPr>
          <w:sz w:val="24"/>
          <w:u w:val="single"/>
        </w:rPr>
      </w:r>
      <w:r/>
    </w:p>
    <w:p>
      <w:pPr>
        <w:pStyle w:val="1070"/>
        <w:ind w:firstLine="522"/>
        <w:spacing w:line="360" w:lineRule="auto"/>
        <w:tabs>
          <w:tab w:val="left" w:pos="1080" w:leader="none"/>
          <w:tab w:val="left" w:pos="1589" w:leader="none"/>
          <w:tab w:val="left" w:pos="2035" w:leader="none"/>
          <w:tab w:val="left" w:pos="2114" w:leader="none"/>
        </w:tabs>
        <w:rPr>
          <w:sz w:val="24"/>
        </w:rPr>
      </w:pPr>
      <w:r>
        <w:rPr>
          <w:rFonts w:ascii="宋体" w:hAnsi="宋体" w:cs="宋体"/>
          <w:spacing w:val="-18"/>
          <w:szCs w:val="21"/>
        </w:rPr>
        <w:t xml:space="preserve">■</w:t>
      </w:r>
      <w:r>
        <w:rPr>
          <w:sz w:val="24"/>
        </w:rPr>
        <w:t xml:space="preserve">无，按下述3.2.2-3.2.5项规定修正。</w:t>
      </w:r>
      <w:r>
        <w:rPr>
          <w:sz w:val="24"/>
        </w:rPr>
      </w:r>
      <w:r/>
    </w:p>
    <w:p>
      <w:pPr>
        <w:pStyle w:val="1070"/>
        <w:ind w:firstLine="480"/>
        <w:spacing w:line="360" w:lineRule="auto"/>
        <w:tabs>
          <w:tab w:val="left" w:pos="2035" w:leader="none"/>
          <w:tab w:val="left" w:pos="2114" w:leader="none"/>
          <w:tab w:val="left" w:pos="2977" w:leader="none"/>
        </w:tabs>
        <w:rPr>
          <w:color w:val="000000"/>
          <w:sz w:val="24"/>
        </w:rPr>
      </w:pPr>
      <w:r>
        <w:rPr>
          <w:rFonts w:hint="eastAsia"/>
          <w:color w:val="000000"/>
          <w:sz w:val="24"/>
        </w:rPr>
        <w:t xml:space="preserve">3.2.2、</w:t>
      </w:r>
      <w:r>
        <w:rPr>
          <w:color w:val="000000"/>
          <w:sz w:val="24"/>
        </w:rPr>
        <w:t xml:space="preserve">大写金额和小写金额不一致的，以大写金额为准；</w:t>
      </w:r>
      <w:r>
        <w:rPr>
          <w:color w:val="000000"/>
          <w:sz w:val="24"/>
        </w:rPr>
      </w:r>
      <w:r/>
    </w:p>
    <w:p>
      <w:pPr>
        <w:pStyle w:val="1070"/>
        <w:ind w:firstLine="480"/>
        <w:spacing w:line="360" w:lineRule="auto"/>
        <w:tabs>
          <w:tab w:val="left" w:pos="2035" w:leader="none"/>
          <w:tab w:val="left" w:pos="2114" w:leader="none"/>
          <w:tab w:val="left" w:pos="2977" w:leader="none"/>
        </w:tabs>
        <w:rPr>
          <w:color w:val="000000"/>
          <w:sz w:val="24"/>
        </w:rPr>
      </w:pPr>
      <w:r>
        <w:rPr>
          <w:rFonts w:hint="eastAsia"/>
          <w:color w:val="000000"/>
          <w:sz w:val="24"/>
        </w:rPr>
        <w:t xml:space="preserve">3.2.3、</w:t>
      </w:r>
      <w:r>
        <w:rPr>
          <w:color w:val="000000"/>
          <w:sz w:val="24"/>
        </w:rPr>
        <w:t xml:space="preserve">单价金额小数点或者百分比有明显错位的，以最终报价一览表的总价为准，并修改单价；</w:t>
      </w:r>
      <w:r>
        <w:rPr>
          <w:color w:val="000000"/>
          <w:sz w:val="24"/>
        </w:rPr>
      </w:r>
      <w:r/>
    </w:p>
    <w:p>
      <w:pPr>
        <w:pStyle w:val="1070"/>
        <w:ind w:firstLine="480"/>
        <w:spacing w:line="360" w:lineRule="auto"/>
        <w:tabs>
          <w:tab w:val="left" w:pos="2035" w:leader="none"/>
          <w:tab w:val="left" w:pos="2114" w:leader="none"/>
          <w:tab w:val="left" w:pos="2977" w:leader="none"/>
        </w:tabs>
        <w:rPr>
          <w:color w:val="000000"/>
          <w:sz w:val="24"/>
        </w:rPr>
      </w:pPr>
      <w:r>
        <w:rPr>
          <w:rFonts w:hint="eastAsia"/>
          <w:color w:val="000000"/>
          <w:sz w:val="24"/>
        </w:rPr>
        <w:t xml:space="preserve">3.2.4、</w:t>
      </w:r>
      <w:r>
        <w:rPr>
          <w:color w:val="000000"/>
          <w:sz w:val="24"/>
        </w:rPr>
        <w:t xml:space="preserve">总价金额与按单价汇总金额不一致的，以单价金额计算结果为准。</w:t>
      </w:r>
      <w:r>
        <w:rPr>
          <w:color w:val="000000"/>
          <w:sz w:val="24"/>
        </w:rPr>
      </w:r>
      <w:r/>
    </w:p>
    <w:p>
      <w:pPr>
        <w:pStyle w:val="1070"/>
        <w:ind w:firstLine="480"/>
        <w:spacing w:line="360" w:lineRule="auto"/>
        <w:tabs>
          <w:tab w:val="left" w:pos="1080" w:leader="none"/>
          <w:tab w:val="left" w:pos="1589" w:leader="none"/>
          <w:tab w:val="left" w:pos="2035" w:leader="none"/>
          <w:tab w:val="left" w:pos="2114" w:leader="none"/>
        </w:tabs>
        <w:rPr>
          <w:sz w:val="24"/>
        </w:rPr>
      </w:pPr>
      <w:r>
        <w:rPr>
          <w:rFonts w:hint="eastAsia"/>
          <w:sz w:val="24"/>
        </w:rPr>
        <w:t xml:space="preserve">3.2.5、</w:t>
      </w: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070"/>
        <w:ind w:firstLine="480"/>
        <w:spacing w:line="360" w:lineRule="auto"/>
        <w:rPr>
          <w:b/>
          <w:bCs/>
          <w:sz w:val="24"/>
        </w:rPr>
      </w:pPr>
      <w:r>
        <w:rPr>
          <w:rFonts w:hint="eastAsia"/>
          <w:sz w:val="24"/>
        </w:rPr>
        <w:t xml:space="preserve">3.3、</w:t>
      </w:r>
      <w:r>
        <w:rPr>
          <w:sz w:val="24"/>
        </w:rPr>
        <w:t xml:space="preserve">落实政府采购政策的价格调整：</w:t>
      </w:r>
      <w:r>
        <w:rPr>
          <w:rFonts w:hint="eastAsia"/>
          <w:b/>
          <w:bCs/>
          <w:sz w:val="24"/>
        </w:rPr>
        <w:t xml:space="preserve">本项目专门面向中小企业采购，故不再执行价格优惠政策。</w:t>
      </w:r>
      <w:r>
        <w:rPr>
          <w:b/>
          <w:bCs/>
          <w:sz w:val="24"/>
        </w:rPr>
      </w:r>
      <w:r/>
    </w:p>
    <w:p>
      <w:pPr>
        <w:pStyle w:val="1070"/>
        <w:spacing w:line="360" w:lineRule="auto"/>
        <w:tabs>
          <w:tab w:val="left" w:pos="360" w:leader="none"/>
        </w:tabs>
        <w:rPr>
          <w:sz w:val="24"/>
        </w:rPr>
        <w:outlineLvl w:val="1"/>
      </w:pPr>
      <w:r>
        <w:rPr>
          <w:rFonts w:hint="eastAsia"/>
          <w:sz w:val="24"/>
          <w:lang w:eastAsia="zh-CN"/>
        </w:rPr>
        <w:t xml:space="preserve">4.</w:t>
      </w: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070"/>
        <w:ind w:firstLine="480"/>
        <w:spacing w:line="360" w:lineRule="auto"/>
        <w:tabs>
          <w:tab w:val="left" w:pos="1080" w:leader="none"/>
        </w:tabs>
        <w:rPr>
          <w:sz w:val="24"/>
        </w:rPr>
      </w:pPr>
      <w:r>
        <w:rPr>
          <w:rFonts w:hint="eastAsia"/>
          <w:sz w:val="24"/>
        </w:rPr>
        <w:t xml:space="preserve">4.1、</w:t>
      </w:r>
      <w:r>
        <w:rPr>
          <w:sz w:val="24"/>
        </w:rPr>
        <w:t xml:space="preserve">供应商对实质性变动不予确认的；</w:t>
      </w:r>
      <w:r>
        <w:rPr>
          <w:sz w:val="24"/>
        </w:rPr>
      </w:r>
      <w:r/>
    </w:p>
    <w:p>
      <w:pPr>
        <w:pStyle w:val="1070"/>
        <w:ind w:firstLine="480"/>
        <w:spacing w:line="360" w:lineRule="auto"/>
        <w:tabs>
          <w:tab w:val="left" w:pos="1080" w:leader="none"/>
        </w:tabs>
        <w:rPr>
          <w:sz w:val="24"/>
        </w:rPr>
      </w:pPr>
      <w:r>
        <w:rPr>
          <w:rFonts w:hint="eastAsia"/>
          <w:sz w:val="24"/>
        </w:rPr>
        <w:t xml:space="preserve">4.2、</w:t>
      </w: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070"/>
        <w:ind w:firstLine="480"/>
        <w:spacing w:line="360" w:lineRule="auto"/>
        <w:tabs>
          <w:tab w:val="left" w:pos="1080" w:leader="none"/>
        </w:tabs>
        <w:rPr>
          <w:sz w:val="24"/>
        </w:rPr>
      </w:pPr>
      <w:r>
        <w:rPr>
          <w:rFonts w:hint="eastAsia"/>
          <w:sz w:val="24"/>
        </w:rPr>
        <w:t xml:space="preserve">4.3、</w:t>
      </w:r>
      <w:r>
        <w:rPr>
          <w:sz w:val="24"/>
        </w:rPr>
        <w:t xml:space="preserve">未按照磋商小组规定的时间、逾期提交最终报价的；</w:t>
      </w:r>
      <w:r>
        <w:rPr>
          <w:sz w:val="24"/>
        </w:rPr>
      </w:r>
      <w:r/>
    </w:p>
    <w:p>
      <w:pPr>
        <w:pStyle w:val="1070"/>
        <w:ind w:firstLine="480"/>
        <w:spacing w:line="360" w:lineRule="auto"/>
        <w:tabs>
          <w:tab w:val="left" w:pos="1080" w:leader="none"/>
        </w:tabs>
        <w:rPr>
          <w:sz w:val="24"/>
        </w:rPr>
      </w:pPr>
      <w:r>
        <w:rPr>
          <w:rFonts w:hint="eastAsia"/>
          <w:sz w:val="24"/>
        </w:rPr>
        <w:t xml:space="preserve">4.4、</w:t>
      </w:r>
      <w:r>
        <w:rPr>
          <w:sz w:val="24"/>
        </w:rPr>
        <w:t xml:space="preserve">如供应商的最终报价超过竞争性磋商文件中规定的项目/采购包预算金额或者项目/采购包最高限价的；</w:t>
      </w:r>
      <w:r>
        <w:rPr>
          <w:sz w:val="24"/>
        </w:rPr>
      </w:r>
      <w:r/>
    </w:p>
    <w:p>
      <w:pPr>
        <w:pStyle w:val="1070"/>
        <w:ind w:firstLine="480"/>
        <w:spacing w:line="360" w:lineRule="auto"/>
        <w:tabs>
          <w:tab w:val="left" w:pos="1080" w:leader="none"/>
        </w:tabs>
        <w:rPr>
          <w:sz w:val="24"/>
        </w:rPr>
      </w:pPr>
      <w:r>
        <w:rPr>
          <w:rFonts w:hint="eastAsia"/>
          <w:sz w:val="24"/>
        </w:rPr>
        <w:t xml:space="preserve">4.5、</w:t>
      </w:r>
      <w:r>
        <w:rPr>
          <w:sz w:val="24"/>
        </w:rPr>
        <w:t xml:space="preserve">响应文件中出现可选择性或可调整的报价的（竞争性磋商文件另有规定的除外）；</w:t>
      </w:r>
      <w:r>
        <w:rPr>
          <w:sz w:val="24"/>
        </w:rPr>
      </w:r>
      <w:r/>
    </w:p>
    <w:p>
      <w:pPr>
        <w:pStyle w:val="1070"/>
        <w:ind w:firstLine="480"/>
        <w:spacing w:line="360" w:lineRule="auto"/>
        <w:tabs>
          <w:tab w:val="left" w:pos="1080" w:leader="none"/>
        </w:tabs>
        <w:rPr>
          <w:sz w:val="24"/>
        </w:rPr>
      </w:pPr>
      <w:r>
        <w:rPr>
          <w:rFonts w:hint="eastAsia"/>
          <w:sz w:val="24"/>
        </w:rPr>
        <w:t xml:space="preserve">4.6、</w:t>
      </w:r>
      <w:r>
        <w:rPr>
          <w:sz w:val="24"/>
        </w:rPr>
        <w:t xml:space="preserve">最终报价出现前后不一致，供应商对修正后的报价不予确认的；</w:t>
      </w:r>
      <w:r>
        <w:rPr>
          <w:sz w:val="24"/>
        </w:rPr>
      </w:r>
      <w:r/>
    </w:p>
    <w:p>
      <w:pPr>
        <w:pStyle w:val="1070"/>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lang w:val="en-US" w:eastAsia="zh-CN"/>
        </w:rPr>
        <w:t xml:space="preserve">4.7、</w:t>
      </w:r>
      <w:r>
        <w:rPr>
          <w:rFonts w:ascii="Times New Roman" w:hAnsi="Times New Roman" w:eastAsia="宋体" w:cs="Times New Roman"/>
          <w:b/>
          <w:bCs/>
          <w:sz w:val="24"/>
        </w:rPr>
        <w:t xml:space="preserve">其他：</w:t>
      </w:r>
      <w:r>
        <w:rPr>
          <w:rFonts w:hint="eastAsia" w:ascii="Times New Roman" w:hAnsi="Times New Roman" w:eastAsia="宋体" w:cs="Times New Roman"/>
          <w:b/>
          <w:bCs/>
          <w:sz w:val="24"/>
          <w:u w:val="single"/>
          <w:lang w:val="en-US" w:eastAsia="zh-CN"/>
        </w:rPr>
        <w:t xml:space="preserve">评审委员会启动异常低价投标（响应）审查的情形和具体要求，包括：</w:t>
      </w:r>
      <w:r>
        <w:rPr>
          <w:rFonts w:hint="eastAsia" w:ascii="Times New Roman" w:hAnsi="Times New Roman" w:eastAsia="宋体" w:cs="Times New Roman"/>
          <w:b/>
          <w:bCs/>
          <w:sz w:val="24"/>
          <w:u w:val="single"/>
          <w:lang w:val="en-US" w:eastAsia="zh-CN"/>
        </w:rPr>
      </w:r>
      <w:r/>
    </w:p>
    <w:p>
      <w:pPr>
        <w:pStyle w:val="1070"/>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（一）评审过程中出现下列情形之一的，评审委员会应当启动异常低价投标（响应）审查程序：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1070"/>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1.投标（响应）报价低于采购项目预算50%的，即投标（响应）报价&lt;采购项目预算×50% ；</w:t>
      </w:r>
      <w:r>
        <w:rPr>
          <w:rFonts w:hint="eastAsia" w:ascii="Times New Roman" w:hAnsi="Times New Roman" w:eastAsia="宋体" w:cs="Times New Roman"/>
          <w:b/>
          <w:bCs/>
          <w:sz w:val="24"/>
          <w:u w:val="single"/>
          <w:lang w:val="en-US" w:eastAsia="zh-CN"/>
        </w:rPr>
      </w:r>
      <w:r/>
    </w:p>
    <w:p>
      <w:pPr>
        <w:pStyle w:val="1070"/>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2.投标（响应）报价低于采购项目最高限价45%的，即投标（响应）报价&lt;采购项目最高限价×45% ；</w:t>
      </w:r>
      <w:r>
        <w:rPr>
          <w:rFonts w:hint="eastAsia" w:ascii="Times New Roman" w:hAnsi="Times New Roman" w:eastAsia="宋体" w:cs="Times New Roman"/>
          <w:b/>
          <w:bCs/>
          <w:sz w:val="24"/>
          <w:u w:val="single"/>
          <w:lang w:val="en-US" w:eastAsia="zh-CN"/>
        </w:rPr>
      </w:r>
      <w:r/>
    </w:p>
    <w:p>
      <w:pPr>
        <w:pStyle w:val="1070"/>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1070"/>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Times New Roman" w:hAnsi="Times New Roman" w:eastAsia="宋体" w:cs="Times New Roman"/>
          <w:b/>
          <w:bCs/>
          <w:sz w:val="24"/>
          <w:u w:val="single"/>
          <w:lang w:val="en-US" w:eastAsia="zh-CN"/>
        </w:rPr>
      </w:r>
      <w:r/>
    </w:p>
    <w:p>
      <w:pPr>
        <w:pStyle w:val="1070"/>
        <w:spacing w:line="360" w:lineRule="auto"/>
        <w:tabs>
          <w:tab w:val="left" w:pos="360" w:leader="none"/>
        </w:tabs>
        <w:rPr>
          <w:sz w:val="24"/>
        </w:rPr>
        <w:outlineLvl w:val="1"/>
      </w:pPr>
      <w:r/>
      <w:bookmarkEnd w:id="488"/>
      <w:r/>
      <w:bookmarkEnd w:id="489"/>
      <w:r>
        <w:rPr>
          <w:rFonts w:hint="eastAsia"/>
          <w:sz w:val="24"/>
          <w:lang w:eastAsia="zh-CN"/>
        </w:rPr>
        <w:t xml:space="preserve">5.</w:t>
      </w:r>
      <w:r>
        <w:rPr>
          <w:sz w:val="24"/>
        </w:rPr>
        <w:t xml:space="preserve">评审方法和评审标准</w:t>
      </w:r>
      <w:r>
        <w:rPr>
          <w:sz w:val="24"/>
        </w:rPr>
      </w:r>
      <w:r/>
    </w:p>
    <w:p>
      <w:pPr>
        <w:pStyle w:val="1070"/>
        <w:ind w:firstLine="480"/>
        <w:spacing w:line="360" w:lineRule="auto"/>
        <w:tabs>
          <w:tab w:val="left" w:pos="1080" w:leader="none"/>
          <w:tab w:val="left" w:pos="1872" w:leader="none"/>
        </w:tabs>
        <w:rPr>
          <w:sz w:val="24"/>
        </w:rPr>
      </w:pPr>
      <w:r>
        <w:rPr>
          <w:rFonts w:hint="eastAsia"/>
          <w:sz w:val="24"/>
        </w:rPr>
        <w:t xml:space="preserve">5.1、</w:t>
      </w: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070"/>
        <w:ind w:firstLine="480"/>
        <w:spacing w:line="360" w:lineRule="auto"/>
        <w:tabs>
          <w:tab w:val="left" w:pos="1080" w:leader="none"/>
          <w:tab w:val="left" w:pos="1872" w:leader="none"/>
        </w:tabs>
        <w:rPr>
          <w:sz w:val="24"/>
        </w:rPr>
      </w:pPr>
      <w:r>
        <w:rPr>
          <w:rFonts w:hint="eastAsia"/>
          <w:sz w:val="24"/>
        </w:rPr>
        <w:t xml:space="preserve">5.2、</w:t>
      </w:r>
      <w:r>
        <w:rPr>
          <w:sz w:val="24"/>
        </w:rPr>
        <w:t xml:space="preserve">竞争性磋商文件中没有规定的评审标准不得作为评审依据。</w:t>
      </w:r>
      <w:r>
        <w:rPr>
          <w:sz w:val="24"/>
        </w:rPr>
      </w:r>
      <w:r/>
    </w:p>
    <w:p>
      <w:pPr>
        <w:pStyle w:val="1070"/>
        <w:ind w:firstLine="480"/>
        <w:spacing w:line="360" w:lineRule="auto"/>
        <w:tabs>
          <w:tab w:val="left" w:pos="1080" w:leader="none"/>
          <w:tab w:val="left" w:pos="1872" w:leader="none"/>
        </w:tabs>
        <w:rPr>
          <w:sz w:val="24"/>
        </w:rPr>
      </w:pPr>
      <w:r>
        <w:rPr>
          <w:rFonts w:hint="eastAsia"/>
          <w:sz w:val="24"/>
        </w:rPr>
        <w:t xml:space="preserve">5.3、</w:t>
      </w:r>
      <w:r>
        <w:rPr>
          <w:sz w:val="24"/>
        </w:rPr>
        <w:t xml:space="preserve">非政府强制采购的节能产品或环境标志产品，依据品目清单和认证证书实施政府优先采购。优先采购的具体规定（如涉及）</w:t>
      </w:r>
      <w:r>
        <w:rPr>
          <w:rFonts w:hint="eastAsia"/>
          <w:sz w:val="24"/>
          <w:u w:val="single"/>
        </w:rPr>
        <w:t xml:space="preserve"> / </w:t>
      </w:r>
      <w:r>
        <w:rPr>
          <w:sz w:val="24"/>
        </w:rPr>
        <w:t xml:space="preserve">。</w:t>
      </w:r>
      <w:r>
        <w:rPr>
          <w:sz w:val="24"/>
        </w:rPr>
      </w:r>
      <w:r/>
    </w:p>
    <w:p>
      <w:pPr>
        <w:pStyle w:val="1070"/>
        <w:ind w:firstLine="480"/>
        <w:spacing w:line="360" w:lineRule="auto"/>
        <w:tabs>
          <w:tab w:val="left" w:pos="1080" w:leader="none"/>
          <w:tab w:val="left" w:pos="1872" w:leader="none"/>
        </w:tabs>
        <w:rPr>
          <w:sz w:val="24"/>
        </w:rPr>
      </w:pPr>
      <w:r>
        <w:rPr>
          <w:rFonts w:hint="eastAsia"/>
          <w:sz w:val="24"/>
        </w:rPr>
        <w:t xml:space="preserve">5.4、</w:t>
      </w:r>
      <w:r>
        <w:rPr>
          <w:sz w:val="24"/>
        </w:rPr>
        <w:t xml:space="preserve">关于无线局域网认证产品政府采购清单中的产品，优先采购的具体规定（如涉及）</w:t>
      </w:r>
      <w:r>
        <w:rPr>
          <w:rFonts w:hint="eastAsia"/>
          <w:sz w:val="24"/>
          <w:u w:val="single"/>
        </w:rPr>
        <w:t xml:space="preserve">  /  </w:t>
      </w:r>
      <w:r>
        <w:rPr>
          <w:sz w:val="24"/>
        </w:rPr>
        <w:t xml:space="preserve">。</w:t>
      </w:r>
      <w:r>
        <w:rPr>
          <w:sz w:val="24"/>
        </w:rPr>
      </w:r>
      <w:r/>
    </w:p>
    <w:p>
      <w:pPr>
        <w:pStyle w:val="1070"/>
        <w:spacing w:line="360" w:lineRule="auto"/>
        <w:tabs>
          <w:tab w:val="left" w:pos="360" w:leader="none"/>
        </w:tabs>
        <w:rPr>
          <w:sz w:val="24"/>
        </w:rPr>
        <w:outlineLvl w:val="1"/>
      </w:pPr>
      <w:r>
        <w:rPr>
          <w:rFonts w:hint="eastAsia"/>
          <w:sz w:val="24"/>
          <w:lang w:eastAsia="zh-CN"/>
        </w:rPr>
        <w:t xml:space="preserve">6.</w:t>
      </w:r>
      <w:r>
        <w:rPr>
          <w:sz w:val="24"/>
        </w:rPr>
        <w:t xml:space="preserve">确定</w:t>
      </w:r>
      <w:bookmarkStart w:id="505" w:name="_Toc164229241"/>
      <w:r/>
      <w:bookmarkStart w:id="506" w:name="_Toc150509297"/>
      <w:r/>
      <w:bookmarkStart w:id="507" w:name="_Toc226965819"/>
      <w:r/>
      <w:bookmarkStart w:id="508" w:name="_Toc520356170"/>
      <w:r/>
      <w:bookmarkStart w:id="509" w:name="_Toc142311048"/>
      <w:r/>
      <w:bookmarkStart w:id="510" w:name="_Toc150480784"/>
      <w:r/>
      <w:bookmarkStart w:id="511" w:name="_Toc151193716"/>
      <w:r/>
      <w:bookmarkStart w:id="512" w:name="_Toc150774646"/>
      <w:r/>
      <w:bookmarkStart w:id="513" w:name="_Toc195842911"/>
      <w:r/>
      <w:bookmarkStart w:id="514" w:name="_Toc127151546"/>
      <w:r/>
      <w:bookmarkStart w:id="515" w:name="_Toc164229387"/>
      <w:r/>
      <w:bookmarkStart w:id="516" w:name="_Toc151193934"/>
      <w:r/>
      <w:bookmarkStart w:id="517" w:name="_Toc151190173"/>
      <w:r/>
      <w:bookmarkStart w:id="518" w:name="_Toc226965736"/>
      <w:r/>
      <w:bookmarkStart w:id="519" w:name="_Toc264969236"/>
      <w:r/>
      <w:bookmarkStart w:id="520" w:name="_Toc151193860"/>
      <w:r/>
      <w:bookmarkStart w:id="521" w:name="_Toc305158814"/>
      <w:r/>
      <w:bookmarkStart w:id="522" w:name="_Toc127161460"/>
      <w:r/>
      <w:bookmarkStart w:id="523" w:name="_Toc164351640"/>
      <w:r/>
      <w:bookmarkStart w:id="524" w:name="_Toc149720839"/>
      <w:r/>
      <w:bookmarkStart w:id="525" w:name="_Ref467307010"/>
      <w:r/>
      <w:bookmarkStart w:id="526" w:name="_Toc150774751"/>
      <w:r/>
      <w:bookmarkStart w:id="527" w:name="_Toc226309790"/>
      <w:r/>
      <w:bookmarkStart w:id="528" w:name="_Toc265228384"/>
      <w:r/>
      <w:bookmarkStart w:id="529" w:name="_Toc164608815"/>
      <w:r/>
      <w:bookmarkStart w:id="530" w:name="_Toc305158888"/>
      <w:r/>
      <w:bookmarkStart w:id="531" w:name="_Toc151193788"/>
      <w:r/>
      <w:bookmarkStart w:id="532" w:name="_Toc151193644"/>
      <w:r/>
      <w:bookmarkStart w:id="533" w:name="_Toc164608660"/>
      <w:r/>
      <w:bookmarkStart w:id="534" w:name="_Toc127151747"/>
      <w:r/>
      <w:bookmarkStart w:id="535" w:name="_Toc226337242"/>
      <w:r>
        <w:rPr>
          <w:sz w:val="24"/>
        </w:rPr>
        <w:t xml:space="preserve">成交候选人名单</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Pr>
          <w:sz w:val="24"/>
        </w:rPr>
      </w:r>
      <w:r/>
    </w:p>
    <w:p>
      <w:pPr>
        <w:pStyle w:val="1070"/>
        <w:ind w:firstLine="480"/>
        <w:spacing w:line="360" w:lineRule="auto"/>
        <w:tabs>
          <w:tab w:val="left" w:pos="1080" w:leader="none"/>
          <w:tab w:val="left" w:pos="1872" w:leader="none"/>
        </w:tabs>
        <w:rPr>
          <w:sz w:val="24"/>
        </w:rPr>
      </w:pPr>
      <w:r>
        <w:rPr>
          <w:rFonts w:hint="eastAsia"/>
          <w:sz w:val="24"/>
        </w:rPr>
        <w:t xml:space="preserve">6.1、</w:t>
      </w: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070"/>
        <w:ind w:firstLine="480"/>
        <w:spacing w:line="360" w:lineRule="auto"/>
        <w:tabs>
          <w:tab w:val="left" w:pos="1080" w:leader="none"/>
          <w:tab w:val="left" w:pos="1872" w:leader="none"/>
        </w:tabs>
        <w:rPr>
          <w:sz w:val="24"/>
        </w:rPr>
      </w:pPr>
      <w:r>
        <w:rPr>
          <w:rFonts w:hint="eastAsia"/>
          <w:sz w:val="24"/>
          <w:szCs w:val="20"/>
        </w:rPr>
        <w:t xml:space="preserve">6.2、</w:t>
      </w: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w:t>
      </w:r>
      <w:r>
        <w:rPr>
          <w:rFonts w:hint="eastAsia"/>
          <w:sz w:val="24"/>
          <w:szCs w:val="20"/>
        </w:rPr>
        <w:t xml:space="preserve">为两家</w:t>
      </w:r>
      <w:r>
        <w:rPr>
          <w:sz w:val="24"/>
          <w:szCs w:val="20"/>
        </w:rPr>
        <w:t xml:space="preserve">，则依次推荐二名供应商为成交候选供应商），并编写评审报告。</w:t>
      </w:r>
      <w:r>
        <w:rPr>
          <w:sz w:val="24"/>
        </w:rPr>
      </w:r>
      <w:r/>
    </w:p>
    <w:p>
      <w:pPr>
        <w:pStyle w:val="1070"/>
        <w:ind w:firstLine="480"/>
        <w:spacing w:line="360" w:lineRule="auto"/>
        <w:tabs>
          <w:tab w:val="left" w:pos="1080" w:leader="none"/>
          <w:tab w:val="left" w:pos="1872" w:leader="none"/>
        </w:tabs>
        <w:rPr>
          <w:sz w:val="24"/>
        </w:rPr>
      </w:pPr>
      <w:r>
        <w:rPr>
          <w:rFonts w:hint="eastAsia"/>
          <w:sz w:val="24"/>
        </w:rPr>
        <w:t xml:space="preserve">6.3、</w:t>
      </w:r>
      <w:r>
        <w:rPr>
          <w:sz w:val="24"/>
        </w:rPr>
        <w:t xml:space="preserve">磋商小组要对评分汇总情况进行复核，特别是对排名第一的、报价最低的、响应文件被认定为无效的情形进行重点复核。</w:t>
      </w:r>
      <w:r>
        <w:rPr>
          <w:sz w:val="24"/>
        </w:rPr>
      </w:r>
      <w:r/>
    </w:p>
    <w:p>
      <w:pPr>
        <w:pStyle w:val="1070"/>
        <w:spacing w:line="360" w:lineRule="auto"/>
        <w:tabs>
          <w:tab w:val="left" w:pos="360" w:leader="none"/>
        </w:tabs>
        <w:rPr>
          <w:sz w:val="24"/>
        </w:rPr>
        <w:outlineLvl w:val="1"/>
      </w:pPr>
      <w:r>
        <w:rPr>
          <w:rFonts w:hint="eastAsia"/>
          <w:sz w:val="24"/>
          <w:lang w:eastAsia="zh-CN"/>
        </w:rPr>
        <w:t xml:space="preserve">7.</w:t>
      </w:r>
      <w:r>
        <w:rPr>
          <w:sz w:val="24"/>
        </w:rPr>
        <w:t xml:space="preserve">报告违法行为</w:t>
      </w:r>
      <w:r>
        <w:rPr>
          <w:sz w:val="24"/>
        </w:rPr>
      </w:r>
      <w:r/>
    </w:p>
    <w:p>
      <w:pPr>
        <w:pStyle w:val="1070"/>
        <w:ind w:firstLine="480"/>
        <w:jc w:val="left"/>
        <w:spacing w:line="360" w:lineRule="auto"/>
        <w:widowControl/>
        <w:tabs>
          <w:tab w:val="left" w:pos="1080" w:leader="none"/>
          <w:tab w:val="left" w:pos="1872" w:leader="none"/>
        </w:tabs>
        <w:rPr>
          <w:b/>
          <w:sz w:val="24"/>
        </w:rPr>
      </w:pPr>
      <w:r>
        <w:rPr>
          <w:rFonts w:hint="eastAsia"/>
          <w:sz w:val="24"/>
        </w:rPr>
        <w:t xml:space="preserve">7.1、</w:t>
      </w:r>
      <w:r>
        <w:rPr>
          <w:sz w:val="24"/>
        </w:rPr>
        <w:t xml:space="preserve">磋商小组在评审过程中发现供应商有行贿、提供虚假材料或者串通等违法行为时，有向采购人、采购代理机构或者有关部门报告的职责。</w:t>
      </w:r>
      <w:r>
        <w:rPr>
          <w:b/>
          <w:sz w:val="24"/>
        </w:rPr>
      </w:r>
      <w:r/>
    </w:p>
    <w:p>
      <w:pPr>
        <w:pStyle w:val="1072"/>
        <w:spacing w:before="0"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sz w:val="24"/>
          <w:szCs w:val="24"/>
        </w:rPr>
        <w:t xml:space="preserve">二、</w:t>
      </w:r>
      <w:r>
        <w:rPr>
          <w:rFonts w:ascii="Times New Roman" w:hAnsi="Times New Roman" w:eastAsia="宋体" w:cs="Times New Roman"/>
          <w:b/>
          <w:sz w:val="24"/>
          <w:szCs w:val="24"/>
          <w:lang w:val="en-US" w:eastAsia="zh-CN" w:bidi="ar-SA"/>
        </w:rPr>
        <w:t xml:space="preserve">评</w:t>
      </w:r>
      <w:r>
        <w:rPr>
          <w:rFonts w:hint="eastAsia" w:ascii="Times New Roman" w:hAnsi="Times New Roman" w:eastAsia="宋体" w:cs="Times New Roman"/>
          <w:b/>
          <w:sz w:val="24"/>
          <w:szCs w:val="24"/>
          <w:lang w:val="en-US" w:eastAsia="zh-CN" w:bidi="ar-SA"/>
        </w:rPr>
        <w:t xml:space="preserve">审</w:t>
      </w:r>
      <w:r>
        <w:rPr>
          <w:rFonts w:ascii="Times New Roman" w:hAnsi="Times New Roman" w:eastAsia="宋体" w:cs="Times New Roman"/>
          <w:b/>
          <w:sz w:val="24"/>
          <w:szCs w:val="24"/>
          <w:lang w:val="en-US" w:eastAsia="zh-CN" w:bidi="ar-SA"/>
        </w:rPr>
        <w:t xml:space="preserve">标准</w:t>
      </w:r>
      <w:r>
        <w:rPr>
          <w:rFonts w:ascii="Times New Roman" w:hAnsi="Times New Roman" w:eastAsia="宋体" w:cs="Times New Roman"/>
          <w:b/>
          <w:sz w:val="24"/>
          <w:szCs w:val="24"/>
          <w:lang w:val="en-US" w:eastAsia="zh-CN" w:bidi="ar-SA"/>
        </w:rPr>
      </w:r>
      <w:r/>
    </w:p>
    <w:tbl>
      <w:tblPr>
        <w:tblW w:w="507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156"/>
        <w:gridCol w:w="739"/>
        <w:gridCol w:w="5244"/>
        <w:gridCol w:w="1277"/>
      </w:tblGrid>
      <w:tr>
        <w:trPr>
          <w:trHeight w:val="212"/>
        </w:trPr>
        <w:tc>
          <w:tcPr>
            <w:tcW w:w="581" w:type="dxa"/>
            <w:vAlign w:val="center"/>
            <w:textDirection w:val="lrTb"/>
            <w:noWrap w:val="false"/>
          </w:tcPr>
          <w:p>
            <w:pPr>
              <w:pStyle w:val="1070"/>
              <w:ind w:left="0" w:firstLine="28"/>
              <w:jc w:val="center"/>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2156" w:type="dxa"/>
            <w:vAlign w:val="center"/>
            <w:textDirection w:val="lrTb"/>
            <w:noWrap w:val="false"/>
          </w:tcPr>
          <w:p>
            <w:pPr>
              <w:pStyle w:val="1070"/>
              <w:ind w:left="0" w:firstLine="28"/>
              <w:jc w:val="center"/>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739" w:type="dxa"/>
            <w:vAlign w:val="center"/>
            <w:textDirection w:val="lrTb"/>
            <w:noWrap w:val="false"/>
          </w:tcPr>
          <w:p>
            <w:pPr>
              <w:pStyle w:val="1070"/>
              <w:ind w:left="0" w:firstLine="28"/>
              <w:jc w:val="center"/>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5244" w:type="dxa"/>
            <w:vAlign w:val="center"/>
            <w:textDirection w:val="lrTb"/>
            <w:noWrap w:val="false"/>
          </w:tcPr>
          <w:p>
            <w:pPr>
              <w:pStyle w:val="1070"/>
              <w:ind w:left="0" w:firstLine="28"/>
              <w:jc w:val="center"/>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1277" w:type="dxa"/>
            <w:vAlign w:val="center"/>
            <w:textDirection w:val="lrTb"/>
            <w:noWrap w:val="false"/>
          </w:tcPr>
          <w:p>
            <w:pPr>
              <w:pStyle w:val="1070"/>
              <w:ind w:left="0"/>
              <w:jc w:val="center"/>
              <w:keepLines w:val="0"/>
              <w:keepNext w:val="0"/>
              <w:pageBreakBefore w:val="0"/>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说明</w:t>
            </w:r>
            <w:r>
              <w:rPr>
                <w:rFonts w:hint="eastAsia" w:ascii="宋体" w:hAnsi="宋体" w:eastAsia="宋体" w:cs="宋体"/>
                <w:b/>
                <w:color w:val="000000"/>
                <w:sz w:val="24"/>
                <w:szCs w:val="24"/>
                <w:highlight w:val="none"/>
                <w:lang w:val="en-US" w:eastAsia="zh-CN" w:bidi="ar-SA"/>
              </w:rPr>
            </w:r>
            <w:r/>
          </w:p>
        </w:tc>
      </w:tr>
      <w:tr>
        <w:trPr>
          <w:trHeight w:val="1440"/>
        </w:trPr>
        <w:tc>
          <w:tcPr>
            <w:tcW w:w="581" w:type="dxa"/>
            <w:vAlign w:val="center"/>
            <w:textDirection w:val="lrTb"/>
            <w:noWrap w:val="false"/>
          </w:tcPr>
          <w:p>
            <w:pPr>
              <w:pStyle w:val="1070"/>
              <w:ind w:left="0" w:firstLine="28"/>
              <w:jc w:val="center"/>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color w:val="000000"/>
                <w:sz w:val="24"/>
                <w:szCs w:val="24"/>
                <w:highlight w:val="none"/>
              </w:rPr>
            </w:r>
            <w:r/>
          </w:p>
        </w:tc>
        <w:tc>
          <w:tcPr>
            <w:tcW w:w="2156" w:type="dxa"/>
            <w:vAlign w:val="center"/>
            <w:textDirection w:val="lrTb"/>
            <w:noWrap w:val="false"/>
          </w:tcPr>
          <w:p>
            <w:pPr>
              <w:pStyle w:val="1070"/>
              <w:ind w:left="0"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739"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5244" w:type="dxa"/>
            <w:vAlign w:val="center"/>
            <w:textDirection w:val="lrTb"/>
            <w:noWrap w:val="false"/>
          </w:tcPr>
          <w:p>
            <w:pPr>
              <w:pStyle w:val="1070"/>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价格分采用低价优先法计算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w:t>
            </w:r>
            <w:r>
              <w:rPr>
                <w:rFonts w:hint="eastAsia" w:ascii="宋体" w:hAnsi="宋体" w:eastAsia="宋体" w:cs="宋体"/>
                <w:color w:val="000000"/>
                <w:sz w:val="24"/>
                <w:szCs w:val="24"/>
                <w:highlight w:val="none"/>
              </w:rPr>
              <w:t xml:space="preserve">满足磋商文件要求且最终报价最低的报价为评标基准价，其价格分为满分。其他供应商的价格分统一按照下列公式计算：</w:t>
            </w:r>
            <w:r>
              <w:rPr>
                <w:rFonts w:hint="eastAsia" w:ascii="宋体" w:hAnsi="宋体" w:eastAsia="宋体" w:cs="宋体"/>
                <w:color w:val="000000"/>
                <w:sz w:val="24"/>
                <w:szCs w:val="24"/>
                <w:highlight w:val="none"/>
              </w:rPr>
            </w:r>
            <w:r/>
          </w:p>
          <w:p>
            <w:pPr>
              <w:pStyle w:val="1070"/>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价格分得分＝（评标基准价/最终报价）×</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77" w:type="dxa"/>
            <w:vAlign w:val="center"/>
            <w:textDirection w:val="lrTb"/>
            <w:noWrap w:val="false"/>
          </w:tcPr>
          <w:p>
            <w:pPr>
              <w:pStyle w:val="1070"/>
              <w:ind w:left="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r>
      <w:tr>
        <w:trPr>
          <w:trHeight w:val="212"/>
        </w:trPr>
        <w:tc>
          <w:tcPr>
            <w:tcW w:w="581" w:type="dxa"/>
            <w:vAlign w:val="center"/>
            <w:textDirection w:val="lrTb"/>
            <w:noWrap w:val="false"/>
          </w:tcPr>
          <w:p>
            <w:pPr>
              <w:pStyle w:val="1070"/>
              <w:ind w:left="0" w:firstLine="28"/>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rPr>
            </w:r>
            <w:r/>
          </w:p>
        </w:tc>
        <w:tc>
          <w:tcPr>
            <w:tcW w:w="2156"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技术部分</w:t>
            </w:r>
            <w:r>
              <w:rPr>
                <w:rFonts w:ascii="宋体" w:hAnsi="宋体" w:eastAsia="宋体" w:cs="宋体"/>
                <w:b/>
                <w:bCs/>
                <w:color w:val="000000"/>
                <w:sz w:val="24"/>
                <w:szCs w:val="24"/>
                <w:highlight w:val="none"/>
                <w:lang w:val="en-US"/>
              </w:rPr>
            </w:r>
            <w:r/>
          </w:p>
        </w:tc>
        <w:tc>
          <w:tcPr>
            <w:tcW w:w="739"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58</w:t>
            </w:r>
            <w:r>
              <w:rPr>
                <w:rFonts w:ascii="宋体" w:hAnsi="宋体" w:eastAsia="宋体" w:cs="宋体"/>
                <w:b/>
                <w:bCs/>
                <w:color w:val="000000"/>
                <w:sz w:val="24"/>
                <w:szCs w:val="24"/>
                <w:highlight w:val="none"/>
                <w:lang w:val="en-US" w:eastAsia="zh-CN"/>
              </w:rPr>
            </w:r>
            <w:r/>
          </w:p>
        </w:tc>
        <w:tc>
          <w:tcPr>
            <w:tcW w:w="5244" w:type="dxa"/>
            <w:vAlign w:val="center"/>
            <w:textDirection w:val="lrTb"/>
            <w:noWrap w:val="false"/>
          </w:tcPr>
          <w:p>
            <w:pPr>
              <w:pStyle w:val="1070"/>
              <w:ind w:left="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7" w:type="dxa"/>
            <w:vAlign w:val="center"/>
            <w:textDirection w:val="lrTb"/>
            <w:noWrap w:val="false"/>
          </w:tcPr>
          <w:p>
            <w:pPr>
              <w:pStyle w:val="1070"/>
              <w:ind w:left="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14"/>
        </w:trPr>
        <w:tc>
          <w:tcPr>
            <w:tcW w:w="581"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1070"/>
              <w:ind w:left="0"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sz w:val="24"/>
                <w:szCs w:val="24"/>
                <w:lang w:val="en-US" w:eastAsia="zh-CN"/>
              </w:rPr>
              <w:t xml:space="preserve">垃圾分类</w:t>
            </w:r>
            <w:r>
              <w:rPr>
                <w:rFonts w:hint="eastAsia" w:ascii="宋体" w:hAnsi="宋体" w:eastAsia="宋体" w:cs="宋体"/>
                <w:b/>
                <w:sz w:val="24"/>
                <w:szCs w:val="24"/>
              </w:rPr>
              <w:t xml:space="preserve">方案</w:t>
            </w:r>
            <w:r>
              <w:rPr>
                <w:rFonts w:hint="eastAsia" w:ascii="宋体" w:hAnsi="宋体" w:eastAsia="宋体" w:cs="宋体"/>
                <w:color w:val="000000"/>
                <w:sz w:val="24"/>
                <w:szCs w:val="24"/>
                <w:highlight w:val="none"/>
              </w:rPr>
            </w:r>
            <w:r/>
          </w:p>
        </w:tc>
        <w:tc>
          <w:tcPr>
            <w:tcW w:w="739"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5244" w:type="dxa"/>
            <w:vAlign w:val="center"/>
            <w:textDirection w:val="lrTb"/>
            <w:noWrap w:val="false"/>
          </w:tcPr>
          <w:p>
            <w:pPr>
              <w:pStyle w:val="1070"/>
              <w:ind w:firstLine="482"/>
              <w:jc w:val="left"/>
              <w:spacing w:line="360" w:lineRule="exact"/>
              <w:rPr>
                <w:rFonts w:hint="eastAsia"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highlight w:val="none"/>
                <w:shd w:val="clear" w:color="auto" w:fill="ffffff"/>
                <w:lang w:val="en-US" w:eastAsia="zh-CN"/>
              </w:rPr>
              <w:t xml:space="preserve">投标供应商根据招标文件中的要求及项目当地实际情况，在满足相关要求的前提下根据自身经验进行优化设计，制定垃圾分类方案，根据方案的完整性、可行性与合理性，由评标委员会进行横向评议：</w:t>
            </w:r>
            <w:r>
              <w:rPr>
                <w:rFonts w:hint="eastAsia" w:ascii="宋体" w:hAnsi="宋体" w:eastAsia="宋体" w:cs="宋体"/>
                <w:b/>
                <w:bCs/>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（1）方案全面、实用、合理、有针对性的得7分；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（2）方案比较全面、实用、合理、有针对性的得4分；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（3）方案不全面、不实用、不合理、没有针对性的得1分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shd w:val="clear" w:color="auto" w:fill="ffffff"/>
                <w:lang w:val="en-US" w:eastAsia="zh-CN"/>
              </w:rPr>
              <w:t xml:space="preserve">（4）未提供不得分。</w:t>
            </w:r>
            <w:r>
              <w:rPr>
                <w:rFonts w:ascii="宋体" w:hAnsi="宋体" w:eastAsia="宋体" w:cs="宋体"/>
                <w:color w:val="000000"/>
                <w:sz w:val="24"/>
                <w:szCs w:val="24"/>
                <w:highlight w:val="none"/>
                <w:lang w:val="en-US" w:eastAsia="zh-CN"/>
              </w:rPr>
            </w:r>
            <w:r/>
          </w:p>
        </w:tc>
        <w:tc>
          <w:tcPr>
            <w:tcW w:w="1277" w:type="dxa"/>
            <w:vAlign w:val="center"/>
            <w:textDirection w:val="lrTb"/>
            <w:noWrap w:val="false"/>
          </w:tcPr>
          <w:p>
            <w:pPr>
              <w:pStyle w:val="1070"/>
              <w:ind w:left="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581"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1070"/>
              <w:ind w:left="0"/>
              <w:jc w:val="center"/>
              <w:keepLines w:val="0"/>
              <w:keepNext w:val="0"/>
              <w:pageBreakBefore w:val="0"/>
              <w:spacing w:line="240" w:lineRule="auto"/>
              <w:widowControl w:val="off"/>
              <w:tabs>
                <w:tab w:val="left" w:pos="532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b/>
                <w:sz w:val="24"/>
                <w:szCs w:val="24"/>
                <w:lang w:val="en-US" w:eastAsia="zh-CN"/>
              </w:rPr>
              <w:t xml:space="preserve">运维服务方案</w:t>
            </w:r>
            <w:r>
              <w:rPr>
                <w:rFonts w:hint="eastAsia" w:ascii="宋体" w:hAnsi="宋体" w:eastAsia="宋体" w:cs="宋体"/>
                <w:color w:val="000000"/>
                <w:sz w:val="24"/>
                <w:szCs w:val="24"/>
                <w:highlight w:val="none"/>
                <w:lang w:val="en-US" w:eastAsia="zh-CN"/>
              </w:rPr>
            </w:r>
            <w:r/>
          </w:p>
        </w:tc>
        <w:tc>
          <w:tcPr>
            <w:tcW w:w="739"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5244" w:type="dxa"/>
            <w:vAlign w:val="center"/>
            <w:textDirection w:val="lrTb"/>
            <w:noWrap w:val="false"/>
          </w:tcPr>
          <w:p>
            <w:pPr>
              <w:pStyle w:val="1070"/>
              <w:numPr>
                <w:ilvl w:val="0"/>
                <w:numId w:val="0"/>
              </w:numPr>
              <w:ind w:firstLine="482"/>
              <w:jc w:val="left"/>
              <w:spacing w:line="360" w:lineRule="exact"/>
              <w:rPr>
                <w:rFonts w:ascii="宋体" w:hAnsi="宋体" w:eastAsia="宋体" w:cs="宋体"/>
                <w:b/>
                <w:bCs/>
                <w:color w:val="000000"/>
                <w:sz w:val="24"/>
                <w:szCs w:val="24"/>
                <w:shd w:val="clear" w:color="auto" w:fill="ffffff"/>
                <w:lang w:val="en-US" w:eastAsia="zh-CN" w:bidi="ar-SA"/>
              </w:rPr>
            </w:pPr>
            <w:r>
              <w:rPr>
                <w:rFonts w:hint="eastAsia" w:ascii="宋体" w:hAnsi="宋体" w:eastAsia="宋体" w:cs="宋体"/>
                <w:b/>
                <w:sz w:val="24"/>
                <w:szCs w:val="24"/>
                <w:lang w:val="en-US" w:eastAsia="zh-CN"/>
              </w:rPr>
              <w:t xml:space="preserve">运维服务方案包括但不限于以下内容：</w:t>
            </w:r>
            <w:r>
              <w:rPr>
                <w:rFonts w:ascii="宋体" w:hAnsi="宋体" w:eastAsia="宋体" w:cs="宋体"/>
                <w:b/>
                <w:bCs/>
                <w:color w:val="000000"/>
                <w:sz w:val="24"/>
                <w:szCs w:val="24"/>
                <w:shd w:val="clear" w:color="auto" w:fill="ffffff"/>
                <w:lang w:val="en-US" w:eastAsia="zh-CN" w:bidi="ar-SA"/>
              </w:rPr>
            </w:r>
            <w:r/>
          </w:p>
          <w:p>
            <w:pPr>
              <w:pStyle w:val="1070"/>
              <w:numPr>
                <w:ilvl w:val="0"/>
                <w:numId w:val="0"/>
              </w:numPr>
              <w:ind w:firstLine="482"/>
              <w:jc w:val="left"/>
              <w:spacing w:line="360" w:lineRule="exact"/>
              <w:rPr>
                <w:rFonts w:hint="eastAsia"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shd w:val="clear" w:color="auto" w:fill="ffffff"/>
                <w:lang w:val="en-US" w:eastAsia="zh-CN" w:bidi="ar-SA"/>
              </w:rPr>
              <w:t xml:space="preserve">1、</w:t>
            </w:r>
            <w:r>
              <w:rPr>
                <w:rFonts w:hint="eastAsia" w:ascii="宋体" w:hAnsi="宋体" w:eastAsia="宋体" w:cs="宋体"/>
                <w:b/>
                <w:bCs/>
                <w:color w:val="000000"/>
                <w:sz w:val="24"/>
                <w:szCs w:val="24"/>
                <w:highlight w:val="none"/>
                <w:shd w:val="clear" w:color="auto" w:fill="ffffff"/>
                <w:lang w:val="en-US" w:eastAsia="zh-CN"/>
              </w:rPr>
              <w:t xml:space="preserve">制定详细垃圾中转站运维服务方案，服务内容应包含但不限于进站垃圾的二次转运、转运站、转运设施设备的维护保养、转运车辆的维护保养、更新改造等、合理调度转运站的运行。</w:t>
            </w:r>
            <w:r>
              <w:rPr>
                <w:rFonts w:hint="eastAsia" w:ascii="宋体" w:hAnsi="宋体" w:eastAsia="宋体" w:cs="宋体"/>
                <w:b/>
                <w:bCs/>
                <w:color w:val="000000"/>
                <w:sz w:val="24"/>
                <w:szCs w:val="24"/>
                <w:highlight w:val="none"/>
                <w:shd w:val="clear" w:color="auto" w:fill="ffffff"/>
                <w:lang w:val="en-US" w:eastAsia="zh-CN"/>
              </w:rPr>
            </w:r>
            <w:r/>
          </w:p>
          <w:p>
            <w:pPr>
              <w:pStyle w:val="1070"/>
              <w:ind w:firstLine="48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（1）中转站运维服务方案内容完善、运行合理，得5分；</w:t>
            </w:r>
            <w:r>
              <w:rPr>
                <w:rFonts w:hint="eastAsia" w:ascii="宋体" w:hAnsi="宋体" w:eastAsia="宋体" w:cs="宋体"/>
                <w:color w:val="000000"/>
                <w:sz w:val="24"/>
                <w:szCs w:val="24"/>
                <w:highlight w:val="none"/>
                <w:shd w:val="clear" w:color="auto" w:fill="ffffff"/>
                <w:lang w:val="en-US" w:eastAsia="zh-CN"/>
              </w:rPr>
            </w:r>
            <w:r/>
          </w:p>
          <w:p>
            <w:pPr>
              <w:pStyle w:val="1070"/>
              <w:ind w:firstLine="48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（2）中转站运维服务方案内容较完善、运行较合理，得3分；</w:t>
            </w:r>
            <w:r>
              <w:rPr>
                <w:rFonts w:hint="eastAsia" w:ascii="宋体" w:hAnsi="宋体" w:eastAsia="宋体" w:cs="宋体"/>
                <w:color w:val="000000"/>
                <w:sz w:val="24"/>
                <w:szCs w:val="24"/>
                <w:highlight w:val="none"/>
                <w:shd w:val="clear" w:color="auto" w:fill="ffffff"/>
                <w:lang w:val="en-US" w:eastAsia="zh-CN"/>
              </w:rPr>
            </w:r>
            <w:r/>
          </w:p>
          <w:p>
            <w:pPr>
              <w:pStyle w:val="1070"/>
              <w:ind w:firstLine="48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（3）中转站运维服务方案一般，得1分；</w:t>
            </w:r>
            <w:r>
              <w:rPr>
                <w:rFonts w:hint="eastAsia" w:ascii="宋体" w:hAnsi="宋体" w:eastAsia="宋体" w:cs="宋体"/>
                <w:color w:val="000000"/>
                <w:sz w:val="24"/>
                <w:szCs w:val="24"/>
                <w:highlight w:val="none"/>
                <w:shd w:val="clear" w:color="auto" w:fill="ffffff"/>
                <w:lang w:val="en-US" w:eastAsia="zh-CN"/>
              </w:rPr>
            </w:r>
            <w:r/>
          </w:p>
          <w:p>
            <w:pPr>
              <w:pStyle w:val="1070"/>
              <w:numPr>
                <w:ilvl w:val="0"/>
                <w:numId w:val="0"/>
              </w:numPr>
              <w:ind w:firstLine="482"/>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（4）不提供不得分。</w:t>
            </w:r>
            <w:r>
              <w:rPr>
                <w:rFonts w:hint="eastAsia" w:ascii="宋体" w:hAnsi="宋体" w:eastAsia="宋体" w:cs="宋体"/>
                <w:color w:val="000000"/>
                <w:sz w:val="24"/>
                <w:szCs w:val="24"/>
                <w:highlight w:val="none"/>
                <w:shd w:val="clear" w:color="auto" w:fill="ffffff"/>
                <w:lang w:val="en-US" w:eastAsia="zh-CN"/>
              </w:rPr>
            </w:r>
            <w:r/>
          </w:p>
          <w:p>
            <w:pPr>
              <w:pStyle w:val="1070"/>
              <w:numPr>
                <w:ilvl w:val="0"/>
                <w:numId w:val="0"/>
              </w:numPr>
              <w:ind w:firstLine="482"/>
              <w:jc w:val="left"/>
              <w:spacing w:line="360" w:lineRule="exact"/>
              <w:rPr>
                <w:rFonts w:hint="eastAsia"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shd w:val="clear" w:color="auto" w:fill="ffffff"/>
                <w:lang w:val="en-US" w:eastAsia="zh-CN" w:bidi="ar-SA"/>
              </w:rPr>
              <w:t xml:space="preserve">2、</w:t>
            </w:r>
            <w:r>
              <w:rPr>
                <w:rFonts w:hint="eastAsia" w:ascii="宋体" w:hAnsi="宋体" w:eastAsia="宋体" w:cs="宋体"/>
                <w:b/>
                <w:bCs/>
                <w:color w:val="000000"/>
                <w:sz w:val="24"/>
                <w:szCs w:val="24"/>
                <w:highlight w:val="none"/>
                <w:shd w:val="clear" w:color="auto" w:fill="ffffff"/>
                <w:lang w:val="en-US" w:eastAsia="zh-CN"/>
              </w:rPr>
              <w:t xml:space="preserve">运营服务方案：杜绝进站车辆积压、站内保洁、消杀、除臭、灭鼠灭蝇等工作。服务方案不限于工作流程、作业标准等部分的内容，根据方案的完整性、可行性与合理性,由评标委员会进行横向评议：</w:t>
            </w:r>
            <w:r>
              <w:rPr>
                <w:rFonts w:hint="eastAsia" w:ascii="宋体" w:hAnsi="宋体" w:eastAsia="宋体" w:cs="宋体"/>
                <w:b/>
                <w:bCs/>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（1）项目运营服务内容完善、工作安排合理，方案可行，工作组织程序清晰的，得5分；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（2）项目运营服务内容较完善、工作安排较合理，方案较可行，工作组织程序较清晰的，得3分；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（3）项目运营服务方案一般，得1分；</w:t>
            </w:r>
            <w:r>
              <w:rPr>
                <w:rFonts w:hint="eastAsia" w:ascii="宋体" w:hAnsi="宋体" w:eastAsia="宋体" w:cs="宋体"/>
                <w:color w:val="000000"/>
                <w:sz w:val="24"/>
                <w:szCs w:val="24"/>
                <w:highlight w:val="none"/>
                <w:shd w:val="clear" w:color="auto" w:fill="ffffff"/>
                <w:lang w:val="en-US" w:eastAsia="zh-CN"/>
              </w:rPr>
            </w:r>
            <w:r/>
          </w:p>
          <w:p>
            <w:pPr>
              <w:pStyle w:val="107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shd w:val="clear" w:color="auto" w:fill="ffffff"/>
                <w:lang w:val="en-US" w:eastAsia="zh-CN"/>
              </w:rPr>
              <w:t xml:space="preserve">（4）不提供不得分。</w:t>
            </w:r>
            <w:r>
              <w:rPr>
                <w:rFonts w:ascii="宋体" w:hAnsi="宋体" w:eastAsia="宋体" w:cs="宋体"/>
                <w:color w:val="000000"/>
                <w:sz w:val="24"/>
                <w:szCs w:val="24"/>
                <w:highlight w:val="none"/>
                <w:lang w:val="en-US" w:eastAsia="zh-CN"/>
              </w:rPr>
            </w:r>
            <w:r/>
          </w:p>
        </w:tc>
        <w:tc>
          <w:tcPr>
            <w:tcW w:w="1277" w:type="dxa"/>
            <w:vAlign w:val="center"/>
            <w:textDirection w:val="lrTb"/>
            <w:noWrap w:val="false"/>
          </w:tcPr>
          <w:p>
            <w:pPr>
              <w:pStyle w:val="1070"/>
              <w:ind w:left="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581"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rPr>
                <w:rFonts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1070"/>
              <w:ind w:left="0"/>
              <w:jc w:val="center"/>
              <w:keepLines w:val="0"/>
              <w:keepNext w:val="0"/>
              <w:pageBreakBefore w:val="0"/>
              <w:spacing w:line="240" w:lineRule="auto"/>
              <w:widowControl w:val="off"/>
              <w:tabs>
                <w:tab w:val="left" w:pos="5325" w:leader="none"/>
              </w:tabs>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团队管理方案</w:t>
            </w:r>
            <w:r>
              <w:rPr>
                <w:rFonts w:hint="eastAsia" w:ascii="宋体" w:hAnsi="宋体" w:eastAsia="宋体" w:cs="宋体"/>
                <w:b/>
                <w:sz w:val="24"/>
                <w:szCs w:val="24"/>
                <w:lang w:val="en-US" w:eastAsia="zh-CN"/>
              </w:rPr>
            </w:r>
            <w:r/>
          </w:p>
        </w:tc>
        <w:tc>
          <w:tcPr>
            <w:tcW w:w="739"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5244" w:type="dxa"/>
            <w:vAlign w:val="center"/>
            <w:textDirection w:val="lrTb"/>
            <w:noWrap w:val="false"/>
          </w:tcPr>
          <w:p>
            <w:pPr>
              <w:pStyle w:val="1070"/>
              <w:ind w:firstLine="482"/>
              <w:jc w:val="left"/>
              <w:spacing w:line="360" w:lineRule="exact"/>
              <w:rPr>
                <w:rFonts w:hint="eastAsia"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highlight w:val="none"/>
                <w:shd w:val="clear" w:color="auto" w:fill="ffffff"/>
                <w:lang w:val="en-US" w:eastAsia="zh-CN"/>
              </w:rPr>
              <w:t xml:space="preserve">投标人提供团队管理方案（包括组织架构、部门职能、岗位职能、人员绩效考核等内容），根据方案的针对性、可行性、合理性等情况综合评分。 </w:t>
            </w:r>
            <w:r>
              <w:rPr>
                <w:rFonts w:hint="eastAsia" w:ascii="宋体" w:hAnsi="宋体" w:eastAsia="宋体" w:cs="宋体"/>
                <w:b/>
                <w:bCs/>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（1）团队管理方案内容完整，可行且有针对性的得7分； </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（2）团队管理方案内容基本完整，基本可行，基本具有针对性的得4分； </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（3）团队管理方案内容缺失，可行性针对性差的得1分；</w:t>
            </w:r>
            <w:r>
              <w:rPr>
                <w:rFonts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Times New Roman" w:hAnsi="Times New Roman" w:eastAsia="宋体" w:cs="Times New Roman"/>
                <w:lang w:val="en-US" w:eastAsia="zh-CN"/>
              </w:rPr>
            </w:pPr>
            <w:r>
              <w:rPr>
                <w:rFonts w:hint="eastAsia" w:ascii="宋体" w:hAnsi="宋体" w:eastAsia="宋体" w:cs="宋体"/>
                <w:color w:val="000000"/>
                <w:sz w:val="24"/>
                <w:szCs w:val="24"/>
                <w:highlight w:val="none"/>
                <w:shd w:val="clear" w:color="auto" w:fill="ffffff"/>
                <w:lang w:val="en-US" w:eastAsia="zh-CN"/>
              </w:rPr>
              <w:t xml:space="preserve">（4）未提供不得分；</w:t>
            </w:r>
            <w:r>
              <w:rPr>
                <w:rFonts w:hint="eastAsia" w:ascii="Times New Roman" w:hAnsi="Times New Roman" w:eastAsia="宋体" w:cs="Times New Roman"/>
                <w:lang w:val="en-US" w:eastAsia="zh-CN"/>
              </w:rPr>
            </w:r>
            <w:r/>
          </w:p>
        </w:tc>
        <w:tc>
          <w:tcPr>
            <w:tcW w:w="1277" w:type="dxa"/>
            <w:vAlign w:val="center"/>
            <w:textDirection w:val="lrTb"/>
            <w:noWrap w:val="false"/>
          </w:tcPr>
          <w:p>
            <w:pPr>
              <w:pStyle w:val="1070"/>
              <w:ind w:left="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581"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rPr>
                <w:rFonts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1070"/>
              <w:ind w:left="0"/>
              <w:jc w:val="center"/>
              <w:keepLines w:val="0"/>
              <w:keepNext w:val="0"/>
              <w:pageBreakBefore w:val="0"/>
              <w:spacing w:line="240" w:lineRule="auto"/>
              <w:widowControl w:val="off"/>
              <w:tabs>
                <w:tab w:val="left" w:pos="5325" w:leader="none"/>
              </w:tabs>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应急预案</w:t>
            </w:r>
            <w:r>
              <w:rPr>
                <w:rFonts w:hint="eastAsia" w:ascii="宋体" w:hAnsi="宋体" w:eastAsia="宋体" w:cs="宋体"/>
                <w:b/>
                <w:sz w:val="24"/>
                <w:szCs w:val="24"/>
                <w:lang w:val="en-US" w:eastAsia="zh-CN"/>
              </w:rPr>
            </w:r>
            <w:r/>
          </w:p>
        </w:tc>
        <w:tc>
          <w:tcPr>
            <w:tcW w:w="739" w:type="dxa"/>
            <w:vAlign w:val="center"/>
            <w:textDirection w:val="lrTb"/>
            <w:noWrap w:val="false"/>
          </w:tcPr>
          <w:p>
            <w:pPr>
              <w:pStyle w:val="1070"/>
              <w:ind w:left="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5244" w:type="dxa"/>
            <w:vAlign w:val="top"/>
            <w:textDirection w:val="lrTb"/>
            <w:noWrap w:val="false"/>
          </w:tcPr>
          <w:p>
            <w:pPr>
              <w:pStyle w:val="1070"/>
              <w:ind w:firstLine="482"/>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b/>
                <w:bCs/>
                <w:color w:val="000000"/>
                <w:sz w:val="24"/>
                <w:szCs w:val="24"/>
                <w:highlight w:val="none"/>
                <w:shd w:val="clear" w:color="auto" w:fill="ffffff"/>
                <w:lang w:val="en-US" w:eastAsia="zh-CN"/>
              </w:rPr>
              <w:t xml:space="preserve">应急预案包括：迎接重大活动和检查评比的保障措施；恶劣天气应急预案；安全事故处理措预案；节假日期间工作预案等应急预案综合打分。</w:t>
            </w:r>
            <w:r>
              <w:rPr>
                <w:rFonts w:hint="eastAsia" w:ascii="宋体" w:hAnsi="宋体" w:eastAsia="宋体"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（1）对项目实施过程中可能遇到的风险预测考虑全面，风险应对方案合理可行完整的得8分； </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（2）对项目实施过程中可能遇到的风险预测考虑基本全面，风险应对方案基本合理可行完整的得6分；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（3）对项目实施过程中可能遇到的风险有一定预测，风险应对方案基本合理可行完整的得4分； </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（4）对项目实施过程中可能遇到的风险考虑不全面，风险应对方案简陋缺失的得2分；</w:t>
            </w:r>
            <w:r>
              <w:rPr>
                <w:rFonts w:hint="eastAsia" w:ascii="宋体" w:hAnsi="宋体" w:eastAsia="宋体" w:cs="宋体"/>
                <w:color w:val="000000"/>
                <w:sz w:val="24"/>
                <w:szCs w:val="24"/>
                <w:highlight w:val="none"/>
                <w:shd w:val="clear" w:color="auto" w:fill="ffffff"/>
                <w:lang w:val="en-US" w:eastAsia="zh-CN"/>
              </w:rPr>
            </w:r>
            <w:r/>
          </w:p>
          <w:p>
            <w:pPr>
              <w:pStyle w:val="1070"/>
              <w:numPr>
                <w:ilvl w:val="0"/>
                <w:numId w:val="0"/>
              </w:numPr>
              <w:jc w:val="left"/>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shd w:val="clear" w:color="auto" w:fill="ffffff"/>
                <w:lang w:val="en-US" w:eastAsia="zh-CN"/>
              </w:rPr>
              <w:t xml:space="preserve">（5）未提供不得分。</w:t>
            </w:r>
            <w:r>
              <w:rPr>
                <w:rFonts w:ascii="宋体" w:hAnsi="宋体" w:eastAsia="宋体" w:cs="宋体"/>
                <w:color w:val="000000"/>
                <w:sz w:val="24"/>
                <w:szCs w:val="24"/>
                <w:highlight w:val="none"/>
                <w:lang w:val="en-US"/>
              </w:rPr>
            </w:r>
            <w:r/>
          </w:p>
        </w:tc>
        <w:tc>
          <w:tcPr>
            <w:tcW w:w="1277" w:type="dxa"/>
            <w:vAlign w:val="center"/>
            <w:textDirection w:val="lrTb"/>
            <w:noWrap w:val="false"/>
          </w:tcPr>
          <w:p>
            <w:pPr>
              <w:pStyle w:val="1070"/>
              <w:ind w:left="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581"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1070"/>
              <w:ind w:left="0"/>
              <w:jc w:val="center"/>
              <w:keepLines w:val="0"/>
              <w:keepNext w:val="0"/>
              <w:pageBreakBefore w:val="0"/>
              <w:spacing w:line="240" w:lineRule="auto"/>
              <w:widowControl w:val="off"/>
              <w:tabs>
                <w:tab w:val="left" w:pos="5325" w:leader="none"/>
              </w:tabs>
              <w:rPr>
                <w:rFonts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安全文明保障方案</w:t>
            </w:r>
            <w:r>
              <w:rPr>
                <w:rFonts w:ascii="宋体" w:hAnsi="宋体" w:eastAsia="宋体" w:cs="宋体"/>
                <w:b/>
                <w:sz w:val="24"/>
                <w:szCs w:val="24"/>
                <w:lang w:val="en-US" w:eastAsia="zh-CN"/>
              </w:rPr>
            </w:r>
            <w:r/>
          </w:p>
        </w:tc>
        <w:tc>
          <w:tcPr>
            <w:tcW w:w="739" w:type="dxa"/>
            <w:vAlign w:val="center"/>
            <w:textDirection w:val="lrTb"/>
            <w:noWrap w:val="false"/>
          </w:tcPr>
          <w:p>
            <w:pPr>
              <w:pStyle w:val="1070"/>
              <w:ind w:left="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5244" w:type="dxa"/>
            <w:vAlign w:val="center"/>
            <w:textDirection w:val="lrTb"/>
            <w:noWrap w:val="false"/>
          </w:tcPr>
          <w:p>
            <w:pPr>
              <w:pStyle w:val="1070"/>
              <w:ind w:firstLine="482"/>
              <w:jc w:val="left"/>
              <w:spacing w:line="360" w:lineRule="exact"/>
              <w:rPr>
                <w:rFonts w:hint="eastAsia"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highlight w:val="none"/>
                <w:shd w:val="clear" w:color="auto" w:fill="ffffff"/>
                <w:lang w:val="en-US" w:eastAsia="zh-CN"/>
              </w:rPr>
              <w:t xml:space="preserve">评委根据供应商提供的方案（包括但不限于安全文明保障措施、作业安全管理措施、安全设施设备、安全检查记录等）进行综合评价：</w:t>
            </w:r>
            <w:r>
              <w:rPr>
                <w:rFonts w:hint="eastAsia" w:ascii="宋体" w:hAnsi="宋体" w:eastAsia="宋体" w:cs="宋体"/>
                <w:b/>
                <w:bCs/>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（1）方案完整、设想周到全面、定位明确、可行性强的得7分；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（2）方案较完整、较科学合理、可行性较强的得4分；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（3）方案不够完整、设想不够全面、基本可行的得1分；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shd w:val="clear" w:color="auto" w:fill="ffffff"/>
                <w:lang w:val="en-US" w:eastAsia="zh-CN"/>
              </w:rPr>
              <w:t xml:space="preserve">（4）不提供不得分。</w:t>
            </w:r>
            <w:r>
              <w:rPr>
                <w:rFonts w:hint="eastAsia" w:ascii="宋体" w:hAnsi="宋体" w:eastAsia="宋体" w:cs="宋体"/>
                <w:color w:val="000000"/>
                <w:sz w:val="24"/>
                <w:szCs w:val="24"/>
                <w:highlight w:val="none"/>
                <w:lang w:val="en-US" w:eastAsia="zh-CN"/>
              </w:rPr>
            </w:r>
            <w:r/>
          </w:p>
        </w:tc>
        <w:tc>
          <w:tcPr>
            <w:tcW w:w="1277" w:type="dxa"/>
            <w:vAlign w:val="center"/>
            <w:textDirection w:val="lrTb"/>
            <w:noWrap w:val="false"/>
          </w:tcPr>
          <w:p>
            <w:pPr>
              <w:pStyle w:val="1070"/>
              <w:ind w:left="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485"/>
        </w:trPr>
        <w:tc>
          <w:tcPr>
            <w:tcW w:w="581"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1070"/>
              <w:ind w:left="0"/>
              <w:jc w:val="center"/>
              <w:keepLines w:val="0"/>
              <w:keepNext w:val="0"/>
              <w:pageBreakBefore w:val="0"/>
              <w:spacing w:line="240" w:lineRule="auto"/>
              <w:widowControl w:val="off"/>
              <w:tabs>
                <w:tab w:val="left" w:pos="5325" w:leader="none"/>
              </w:tabs>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交接过渡工作及作业期间与其他单位、各职能部门的综合协调方案</w:t>
            </w:r>
            <w:r>
              <w:rPr>
                <w:rFonts w:hint="eastAsia" w:ascii="宋体" w:hAnsi="宋体" w:eastAsia="宋体" w:cs="宋体"/>
                <w:b/>
                <w:sz w:val="24"/>
                <w:szCs w:val="24"/>
                <w:lang w:val="en-US" w:eastAsia="zh-CN"/>
              </w:rPr>
            </w:r>
            <w:r/>
          </w:p>
        </w:tc>
        <w:tc>
          <w:tcPr>
            <w:tcW w:w="739"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5244" w:type="dxa"/>
            <w:vAlign w:val="center"/>
            <w:textDirection w:val="lrTb"/>
            <w:noWrap w:val="false"/>
          </w:tcPr>
          <w:p>
            <w:pPr>
              <w:pStyle w:val="1070"/>
              <w:ind w:firstLine="482"/>
              <w:jc w:val="left"/>
              <w:spacing w:line="360" w:lineRule="exact"/>
              <w:rPr>
                <w:rFonts w:hint="eastAsia"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highlight w:val="none"/>
                <w:shd w:val="clear" w:color="auto" w:fill="ffffff"/>
                <w:lang w:val="en-US" w:eastAsia="zh-CN"/>
              </w:rPr>
              <w:t xml:space="preserve">根据交接过渡方案及与各部门的综合协调方案的完整性、可行性与合理性，由评标委员会进行横向评议：</w:t>
            </w:r>
            <w:r>
              <w:rPr>
                <w:rFonts w:hint="eastAsia" w:ascii="宋体" w:hAnsi="宋体" w:eastAsia="宋体" w:cs="宋体"/>
                <w:b/>
                <w:bCs/>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（1）方案全面、实用、合理、有针对性的得7分；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（2）方案较全面、实用、合理、有针对性的得4分；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（3）方案不全面、不实用、不合理、没有针对性的得1分；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ascii="Times New Roman" w:hAnsi="Times New Roman" w:eastAsia="宋体" w:cs="Times New Roman"/>
                <w:sz w:val="24"/>
                <w:szCs w:val="24"/>
                <w:lang w:val="en-US" w:eastAsia="zh-CN"/>
              </w:rPr>
            </w:pPr>
            <w:r>
              <w:rPr>
                <w:rFonts w:hint="eastAsia" w:ascii="宋体" w:hAnsi="宋体" w:eastAsia="宋体" w:cs="宋体"/>
                <w:color w:val="000000"/>
                <w:sz w:val="24"/>
                <w:szCs w:val="24"/>
                <w:highlight w:val="none"/>
                <w:shd w:val="clear" w:color="auto" w:fill="ffffff"/>
                <w:lang w:val="en-US" w:eastAsia="zh-CN"/>
              </w:rPr>
              <w:t xml:space="preserve">（4）未提供不得分。</w:t>
            </w:r>
            <w:r>
              <w:rPr>
                <w:rFonts w:ascii="Times New Roman" w:hAnsi="Times New Roman" w:eastAsia="宋体" w:cs="Times New Roman"/>
                <w:sz w:val="24"/>
                <w:szCs w:val="24"/>
                <w:lang w:val="en-US" w:eastAsia="zh-CN"/>
              </w:rPr>
            </w:r>
            <w:r/>
          </w:p>
        </w:tc>
        <w:tc>
          <w:tcPr>
            <w:tcW w:w="1277" w:type="dxa"/>
            <w:vAlign w:val="center"/>
            <w:textDirection w:val="lrTb"/>
            <w:noWrap w:val="false"/>
          </w:tcPr>
          <w:p>
            <w:pPr>
              <w:pStyle w:val="1070"/>
              <w:ind w:left="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131"/>
        </w:trPr>
        <w:tc>
          <w:tcPr>
            <w:tcW w:w="581"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w:t>
            </w:r>
            <w:r>
              <w:rPr>
                <w:rFonts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1333"/>
              <w:spacing w:before="78" w:line="468" w:lineRule="exact"/>
              <w:rPr>
                <w:rFonts w:hint="eastAsia" w:ascii="宋体" w:hAnsi="宋体" w:eastAsia="宋体" w:cs="宋体"/>
                <w:sz w:val="21"/>
                <w:szCs w:val="21"/>
                <w:lang w:val="en-US" w:eastAsia="zh-CN" w:bidi="ar-SA"/>
              </w:rPr>
            </w:pPr>
            <w:r>
              <w:rPr>
                <w:rFonts w:hint="eastAsia" w:ascii="宋体" w:hAnsi="宋体" w:eastAsia="宋体" w:cs="宋体"/>
                <w:b/>
                <w:sz w:val="24"/>
                <w:szCs w:val="24"/>
                <w:lang w:val="en-US" w:eastAsia="zh-CN" w:bidi="ar-SA"/>
              </w:rPr>
              <w:t xml:space="preserve">环境保护</w:t>
            </w:r>
            <w:r>
              <w:rPr>
                <w:rFonts w:hint="eastAsia" w:ascii="宋体" w:hAnsi="宋体" w:eastAsia="宋体" w:cs="宋体"/>
                <w:sz w:val="21"/>
                <w:szCs w:val="21"/>
                <w:lang w:val="en-US" w:eastAsia="zh-CN" w:bidi="ar-SA"/>
              </w:rPr>
            </w:r>
            <w:r/>
          </w:p>
        </w:tc>
        <w:tc>
          <w:tcPr>
            <w:tcW w:w="739" w:type="dxa"/>
            <w:vAlign w:val="center"/>
            <w:textDirection w:val="lrTb"/>
            <w:noWrap w:val="false"/>
          </w:tcPr>
          <w:p>
            <w:pPr>
              <w:pStyle w:val="1070"/>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7</w:t>
            </w:r>
            <w:r>
              <w:rPr>
                <w:rFonts w:hint="eastAsia" w:ascii="宋体" w:hAnsi="宋体" w:cs="宋体"/>
                <w:sz w:val="21"/>
                <w:szCs w:val="21"/>
                <w:lang w:val="en-US" w:eastAsia="zh-CN" w:bidi="ar-SA"/>
              </w:rPr>
            </w:r>
            <w:r/>
          </w:p>
        </w:tc>
        <w:tc>
          <w:tcPr>
            <w:tcW w:w="5244" w:type="dxa"/>
            <w:vAlign w:val="center"/>
            <w:textDirection w:val="lrTb"/>
            <w:noWrap w:val="false"/>
          </w:tcPr>
          <w:p>
            <w:pPr>
              <w:pStyle w:val="1070"/>
              <w:ind w:firstLine="482"/>
              <w:jc w:val="left"/>
              <w:spacing w:line="360" w:lineRule="exact"/>
              <w:rPr>
                <w:rFonts w:hint="eastAsia"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highlight w:val="none"/>
                <w:shd w:val="clear" w:color="auto" w:fill="ffffff"/>
                <w:lang w:val="en-US" w:eastAsia="zh-CN"/>
              </w:rPr>
              <w:t xml:space="preserve">运营期内环境保护（包括扬尘管控）措施的落实合理可行，由评标委员会进行横向评议：</w:t>
            </w:r>
            <w:r>
              <w:rPr>
                <w:rFonts w:hint="eastAsia" w:ascii="宋体" w:hAnsi="宋体" w:eastAsia="宋体" w:cs="宋体"/>
                <w:b/>
                <w:bCs/>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（1）措施描述详尽、全面、可行性高的，得7分；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（2）措施描述基本详尽、全面、可行性高的，得4分；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（3）措施描述一般、措施基本无可行性的，得1分；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cs="宋体"/>
                <w:sz w:val="21"/>
                <w:szCs w:val="21"/>
                <w:lang w:val="en-US" w:eastAsia="zh-CN" w:bidi="ar-SA"/>
              </w:rPr>
            </w:pPr>
            <w:r>
              <w:rPr>
                <w:rFonts w:hint="eastAsia" w:ascii="宋体" w:hAnsi="宋体" w:eastAsia="宋体" w:cs="宋体"/>
                <w:color w:val="000000"/>
                <w:sz w:val="24"/>
                <w:szCs w:val="24"/>
                <w:highlight w:val="none"/>
                <w:shd w:val="clear" w:color="auto" w:fill="ffffff"/>
                <w:lang w:val="en-US" w:eastAsia="zh-CN"/>
              </w:rPr>
              <w:t xml:space="preserve">（4）不提供不得分。</w:t>
            </w:r>
            <w:r>
              <w:rPr>
                <w:rFonts w:hint="eastAsia" w:cs="宋体"/>
                <w:sz w:val="21"/>
                <w:szCs w:val="21"/>
                <w:lang w:val="en-US" w:eastAsia="zh-CN" w:bidi="ar-SA"/>
              </w:rPr>
            </w:r>
            <w:r/>
          </w:p>
        </w:tc>
        <w:tc>
          <w:tcPr>
            <w:tcW w:w="1277" w:type="dxa"/>
            <w:vAlign w:val="center"/>
            <w:textDirection w:val="lrTb"/>
            <w:noWrap w:val="false"/>
          </w:tcPr>
          <w:p>
            <w:pPr>
              <w:pStyle w:val="1070"/>
              <w:ind w:left="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581"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rPr>
                <w:rFonts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1333"/>
              <w:spacing w:before="78" w:line="468" w:lineRule="exac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报价组成分析</w:t>
            </w:r>
            <w:r>
              <w:rPr>
                <w:rFonts w:hint="eastAsia" w:ascii="宋体" w:hAnsi="宋体" w:eastAsia="宋体" w:cs="宋体"/>
                <w:b/>
                <w:sz w:val="24"/>
                <w:szCs w:val="24"/>
                <w:lang w:val="en-US" w:eastAsia="zh-CN" w:bidi="ar-SA"/>
              </w:rPr>
            </w:r>
            <w:r/>
          </w:p>
        </w:tc>
        <w:tc>
          <w:tcPr>
            <w:tcW w:w="739" w:type="dxa"/>
            <w:vAlign w:val="center"/>
            <w:textDirection w:val="lrTb"/>
            <w:noWrap w:val="false"/>
          </w:tcPr>
          <w:p>
            <w:pPr>
              <w:pStyle w:val="1070"/>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5244" w:type="dxa"/>
            <w:vAlign w:val="center"/>
            <w:textDirection w:val="lrTb"/>
            <w:noWrap w:val="false"/>
          </w:tcPr>
          <w:p>
            <w:pPr>
              <w:pStyle w:val="1070"/>
              <w:ind w:firstLine="482"/>
              <w:jc w:val="left"/>
              <w:spacing w:line="360" w:lineRule="exact"/>
              <w:rPr>
                <w:rFonts w:hint="eastAsia"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highlight w:val="none"/>
                <w:shd w:val="clear" w:color="auto" w:fill="ffffff"/>
                <w:lang w:val="en-US" w:eastAsia="zh-CN"/>
              </w:rPr>
              <w:t xml:space="preserve">投标供应商应根据项目的特点、服务期、质量等要求，结合投标供应商现有技术装备、人力、物力、资金状况等因素，对本项目的报价组成进行分析：</w:t>
            </w:r>
            <w:r>
              <w:rPr>
                <w:rFonts w:hint="eastAsia" w:ascii="宋体" w:hAnsi="宋体" w:eastAsia="宋体" w:cs="宋体"/>
                <w:b/>
                <w:bCs/>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（1）报价组成内容详细、科学合理、贴合现实、具有合理利润的得5分；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（2）报价组成内容较详细，较科学合理、较贴合现实、具有利润的得3分；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（3）报价组成内容模糊，无合理性、偏离现实、无利润或负利润的得1分；</w:t>
            </w:r>
            <w:r>
              <w:rPr>
                <w:rFonts w:hint="eastAsia" w:ascii="宋体" w:hAnsi="宋体" w:eastAsia="宋体" w:cs="宋体"/>
                <w:color w:val="000000"/>
                <w:sz w:val="24"/>
                <w:szCs w:val="24"/>
                <w:highlight w:val="none"/>
                <w:shd w:val="clear" w:color="auto" w:fill="ffffff"/>
                <w:lang w:val="en-US" w:eastAsia="zh-CN"/>
              </w:rPr>
            </w:r>
            <w:r/>
          </w:p>
          <w:p>
            <w:pPr>
              <w:pStyle w:val="1070"/>
              <w:jc w:val="left"/>
              <w:spacing w:line="36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highlight w:val="none"/>
                <w:shd w:val="clear" w:color="auto" w:fill="ffffff"/>
                <w:lang w:val="en-US" w:eastAsia="zh-CN"/>
              </w:rPr>
              <w:t xml:space="preserve">（4）未提供不得分。</w:t>
            </w:r>
            <w:r>
              <w:rPr>
                <w:rFonts w:hint="eastAsia" w:ascii="宋体" w:hAnsi="宋体" w:eastAsia="宋体" w:cs="宋体"/>
                <w:color w:val="000000"/>
                <w:sz w:val="24"/>
                <w:szCs w:val="24"/>
                <w:lang w:bidi="ar"/>
              </w:rPr>
            </w:r>
            <w:r/>
          </w:p>
        </w:tc>
        <w:tc>
          <w:tcPr>
            <w:tcW w:w="1277" w:type="dxa"/>
            <w:vAlign w:val="center"/>
            <w:textDirection w:val="lrTb"/>
            <w:noWrap w:val="false"/>
          </w:tcPr>
          <w:p>
            <w:pPr>
              <w:pStyle w:val="1070"/>
              <w:ind w:left="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9"/>
        </w:trPr>
        <w:tc>
          <w:tcPr>
            <w:tcW w:w="581" w:type="dxa"/>
            <w:vAlign w:val="center"/>
            <w:textDirection w:val="lrTb"/>
            <w:noWrap w:val="false"/>
          </w:tcPr>
          <w:p>
            <w:pPr>
              <w:pStyle w:val="1070"/>
              <w:ind w:left="0" w:firstLine="28"/>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rPr>
            </w:r>
            <w:r/>
          </w:p>
        </w:tc>
        <w:tc>
          <w:tcPr>
            <w:tcW w:w="2156" w:type="dxa"/>
            <w:vAlign w:val="center"/>
            <w:textDirection w:val="lrTb"/>
            <w:noWrap w:val="false"/>
          </w:tcPr>
          <w:p>
            <w:pPr>
              <w:pStyle w:val="1070"/>
              <w:ind w:left="0" w:firstLine="28"/>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商务部分</w:t>
            </w:r>
            <w:r>
              <w:rPr>
                <w:rFonts w:hint="eastAsia" w:ascii="宋体" w:hAnsi="宋体" w:eastAsia="宋体" w:cs="宋体"/>
                <w:b/>
                <w:bCs/>
                <w:color w:val="000000"/>
                <w:sz w:val="24"/>
                <w:szCs w:val="24"/>
                <w:highlight w:val="none"/>
                <w:lang w:eastAsia="zh-CN"/>
              </w:rPr>
            </w:r>
            <w:r/>
          </w:p>
        </w:tc>
        <w:tc>
          <w:tcPr>
            <w:tcW w:w="739" w:type="dxa"/>
            <w:vAlign w:val="center"/>
            <w:textDirection w:val="lrTb"/>
            <w:noWrap w:val="false"/>
          </w:tcPr>
          <w:p>
            <w:pPr>
              <w:pStyle w:val="1070"/>
              <w:ind w:left="0" w:firstLine="28"/>
              <w:jc w:val="center"/>
              <w:keepLines w:val="0"/>
              <w:keepNext w:val="0"/>
              <w:pageBreakBefore w:val="0"/>
              <w:spacing w:line="24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w:t>
            </w:r>
            <w:r>
              <w:rPr>
                <w:rFonts w:ascii="宋体" w:hAnsi="宋体" w:eastAsia="宋体" w:cs="宋体"/>
                <w:b/>
                <w:bCs/>
                <w:color w:val="000000"/>
                <w:sz w:val="24"/>
                <w:szCs w:val="24"/>
                <w:highlight w:val="none"/>
                <w:lang w:val="en-US" w:eastAsia="zh-CN"/>
              </w:rPr>
            </w:r>
            <w:r/>
          </w:p>
        </w:tc>
        <w:tc>
          <w:tcPr>
            <w:tcW w:w="5244" w:type="dxa"/>
            <w:vAlign w:val="center"/>
            <w:textDirection w:val="lrTb"/>
            <w:noWrap w:val="false"/>
          </w:tcPr>
          <w:p>
            <w:pPr>
              <w:pStyle w:val="1070"/>
              <w:ind w:left="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7" w:type="dxa"/>
            <w:vAlign w:val="center"/>
            <w:textDirection w:val="lrTb"/>
            <w:noWrap w:val="false"/>
          </w:tcPr>
          <w:p>
            <w:pPr>
              <w:pStyle w:val="1070"/>
              <w:ind w:left="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7"/>
        </w:trPr>
        <w:tc>
          <w:tcPr>
            <w:tcW w:w="581" w:type="dxa"/>
            <w:vAlign w:val="center"/>
            <w:textDirection w:val="lrTb"/>
            <w:noWrap w:val="false"/>
          </w:tcPr>
          <w:p>
            <w:pPr>
              <w:pStyle w:val="1070"/>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lang w:val="en-US" w:eastAsia="zh-CN"/>
              </w:rPr>
              <w:t xml:space="preserve">3.1</w:t>
            </w:r>
            <w:r>
              <w:rPr>
                <w:rFonts w:hint="eastAsia"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1070"/>
              <w:jc w:val="center"/>
              <w:spacing w:line="360" w:lineRule="auto"/>
              <w:widowControl/>
              <w:rPr>
                <w:rFonts w:hint="eastAsia" w:ascii="宋体" w:hAnsi="宋体" w:eastAsia="宋体" w:cs="宋体"/>
                <w:b/>
                <w:lang w:val="en-US" w:eastAsia="zh-CN"/>
              </w:rPr>
            </w:pPr>
            <w:r>
              <w:rPr>
                <w:rFonts w:hint="eastAsia" w:ascii="宋体" w:hAnsi="宋体" w:eastAsia="宋体" w:cs="宋体"/>
                <w:sz w:val="24"/>
                <w:szCs w:val="24"/>
                <w:highlight w:val="none"/>
                <w:lang w:val="en-US" w:eastAsia="zh-CN"/>
              </w:rPr>
              <w:t xml:space="preserve">企业综合实力</w:t>
            </w:r>
            <w:r>
              <w:rPr>
                <w:rFonts w:hint="eastAsia" w:ascii="宋体" w:hAnsi="宋体" w:eastAsia="宋体" w:cs="宋体"/>
                <w:b/>
                <w:lang w:val="en-US" w:eastAsia="zh-CN"/>
              </w:rPr>
            </w:r>
            <w:r/>
          </w:p>
        </w:tc>
        <w:tc>
          <w:tcPr>
            <w:tcW w:w="739" w:type="dxa"/>
            <w:vAlign w:val="center"/>
            <w:textDirection w:val="lrTb"/>
            <w:noWrap w:val="false"/>
          </w:tcPr>
          <w:p>
            <w:pPr>
              <w:pStyle w:val="1070"/>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cs="宋体"/>
                <w:sz w:val="24"/>
                <w:szCs w:val="24"/>
                <w:highlight w:val="none"/>
                <w:lang w:val="en-US" w:eastAsia="zh-CN"/>
              </w:rPr>
              <w:t xml:space="preserve">16</w:t>
            </w:r>
            <w:r>
              <w:rPr>
                <w:rFonts w:ascii="宋体" w:hAnsi="宋体" w:eastAsia="宋体" w:cs="宋体"/>
                <w:color w:val="000000"/>
                <w:sz w:val="24"/>
                <w:szCs w:val="24"/>
                <w:highlight w:val="none"/>
                <w:lang w:val="en-US" w:eastAsia="zh-CN"/>
              </w:rPr>
            </w:r>
            <w:r/>
          </w:p>
        </w:tc>
        <w:tc>
          <w:tcPr>
            <w:tcW w:w="5244" w:type="dxa"/>
            <w:vAlign w:val="center"/>
            <w:textDirection w:val="lrTb"/>
            <w:noWrap w:val="false"/>
          </w:tcPr>
          <w:p>
            <w:pPr>
              <w:pStyle w:val="1070"/>
              <w:numPr>
                <w:ilvl w:val="0"/>
                <w:numId w:val="0"/>
              </w:num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1.投标人具有道路运输许可证的得3分。（投标文件中提供加盖投标人公章的证书复印件，否则不得分）</w:t>
            </w:r>
            <w:r>
              <w:rPr>
                <w:rFonts w:hint="eastAsia" w:ascii="宋体" w:hAnsi="宋体" w:eastAsia="宋体" w:cs="宋体"/>
                <w:sz w:val="24"/>
                <w:szCs w:val="24"/>
                <w:highlight w:val="none"/>
              </w:rPr>
            </w:r>
            <w:r/>
          </w:p>
          <w:p>
            <w:pPr>
              <w:pStyle w:val="1070"/>
              <w:numPr>
                <w:ilvl w:val="0"/>
                <w:numId w:val="0"/>
              </w:num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2.投标人具有劳务派遣经营许可证的得4分。（投标文件中提供加盖投标人公章的证书复印件，否则不得分）</w:t>
            </w:r>
            <w:r>
              <w:rPr>
                <w:rFonts w:hint="eastAsia" w:ascii="宋体" w:hAnsi="宋体" w:eastAsia="宋体" w:cs="宋体"/>
                <w:sz w:val="24"/>
                <w:szCs w:val="24"/>
                <w:highlight w:val="none"/>
              </w:rPr>
            </w:r>
            <w:r/>
          </w:p>
          <w:p>
            <w:pPr>
              <w:pStyle w:val="1070"/>
              <w:numPr>
                <w:ilvl w:val="0"/>
                <w:numId w:val="0"/>
              </w:num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3.投标人自有垃圾转运车规模：5分。（须提供相关自有车辆行驶证、车辆登记证，车辆购买时间为开标之日前。否则不得分）</w:t>
            </w:r>
            <w:r>
              <w:rPr>
                <w:rFonts w:hint="eastAsia" w:ascii="宋体" w:hAnsi="宋体" w:eastAsia="宋体" w:cs="宋体"/>
                <w:sz w:val="24"/>
                <w:szCs w:val="24"/>
                <w:highlight w:val="none"/>
              </w:rPr>
            </w:r>
            <w:r/>
          </w:p>
          <w:p>
            <w:pPr>
              <w:pStyle w:val="1070"/>
              <w:numPr>
                <w:ilvl w:val="0"/>
                <w:numId w:val="0"/>
              </w:num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⑴转运车总质量≥25吨，得5分；</w:t>
            </w:r>
            <w:r>
              <w:rPr>
                <w:rFonts w:hint="eastAsia" w:ascii="宋体" w:hAnsi="宋体" w:eastAsia="宋体" w:cs="宋体"/>
                <w:sz w:val="24"/>
                <w:szCs w:val="24"/>
                <w:highlight w:val="none"/>
              </w:rPr>
            </w:r>
            <w:r/>
          </w:p>
          <w:p>
            <w:pPr>
              <w:pStyle w:val="1070"/>
              <w:numPr>
                <w:ilvl w:val="0"/>
                <w:numId w:val="0"/>
              </w:num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⑵转运车总质量&lt;25吨，得3分；</w:t>
            </w:r>
            <w:r>
              <w:rPr>
                <w:rFonts w:hint="eastAsia" w:ascii="宋体" w:hAnsi="宋体" w:eastAsia="宋体" w:cs="宋体"/>
                <w:sz w:val="24"/>
                <w:szCs w:val="24"/>
                <w:highlight w:val="none"/>
              </w:rPr>
            </w:r>
            <w:r/>
          </w:p>
          <w:p>
            <w:pPr>
              <w:pStyle w:val="1070"/>
              <w:numPr>
                <w:ilvl w:val="0"/>
                <w:numId w:val="0"/>
              </w:numPr>
              <w:ind w:firstLine="480"/>
              <w:jc w:val="left"/>
              <w:spacing w:line="360" w:lineRule="auto"/>
              <w:widowControl/>
              <w:rPr>
                <w:rFonts w:hint="eastAsia" w:ascii="宋体" w:hAnsi="宋体" w:eastAsia="宋体" w:cs="宋体"/>
                <w:b/>
                <w:bCs/>
                <w:lang w:val="en-US"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投标人具有电工证、设备维修证、污水处理员证、智慧环卫工程师证的有1个得1分，最高得4分（提供人员有效证书或证明材料扫描件加盖电子公章及</w:t>
            </w:r>
            <w:r>
              <w:rPr>
                <w:rFonts w:hint="eastAsia" w:ascii="宋体" w:hAnsi="宋体" w:eastAsia="宋体" w:cs="宋体"/>
                <w:sz w:val="24"/>
                <w:szCs w:val="24"/>
                <w:highlight w:val="none"/>
                <w:lang w:eastAsia="zh-CN"/>
              </w:rPr>
              <w:t xml:space="preserve">2025年7月—2025年9月或2025年8月—2025年10月</w:t>
            </w:r>
            <w:r>
              <w:rPr>
                <w:rFonts w:hint="eastAsia" w:ascii="宋体" w:hAnsi="宋体" w:eastAsia="宋体" w:cs="宋体"/>
                <w:sz w:val="24"/>
                <w:szCs w:val="24"/>
                <w:highlight w:val="none"/>
              </w:rPr>
              <w:t xml:space="preserve">社保缴费证明）</w:t>
            </w:r>
            <w:r>
              <w:rPr>
                <w:rFonts w:hint="eastAsia" w:ascii="宋体" w:hAnsi="宋体" w:eastAsia="宋体" w:cs="宋体"/>
                <w:b/>
                <w:bCs/>
                <w:lang w:val="en-US" w:eastAsia="zh-CN"/>
              </w:rPr>
            </w:r>
            <w:r/>
          </w:p>
        </w:tc>
        <w:tc>
          <w:tcPr>
            <w:tcW w:w="1277" w:type="dxa"/>
            <w:vAlign w:val="center"/>
            <w:textDirection w:val="lrTb"/>
            <w:noWrap w:val="false"/>
          </w:tcPr>
          <w:p>
            <w:pPr>
              <w:pStyle w:val="1070"/>
              <w:ind w:left="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7"/>
        </w:trPr>
        <w:tc>
          <w:tcPr>
            <w:tcW w:w="581" w:type="dxa"/>
            <w:vAlign w:val="center"/>
            <w:textDirection w:val="lrTb"/>
            <w:noWrap w:val="false"/>
          </w:tcPr>
          <w:p>
            <w:pPr>
              <w:pStyle w:val="1070"/>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2156" w:type="dxa"/>
            <w:vAlign w:val="center"/>
            <w:textDirection w:val="lrTb"/>
            <w:noWrap w:val="false"/>
          </w:tcPr>
          <w:p>
            <w:pPr>
              <w:pStyle w:val="1070"/>
              <w:numPr>
                <w:ilvl w:val="0"/>
                <w:numId w:val="0"/>
              </w:num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类似业绩</w:t>
            </w:r>
            <w:r>
              <w:rPr>
                <w:rFonts w:hint="eastAsia" w:ascii="宋体" w:hAnsi="宋体" w:eastAsia="宋体" w:cs="宋体"/>
                <w:sz w:val="24"/>
                <w:szCs w:val="24"/>
                <w:highlight w:val="none"/>
                <w:lang w:val="en-US" w:eastAsia="zh-CN"/>
              </w:rPr>
            </w:r>
            <w:r/>
          </w:p>
        </w:tc>
        <w:tc>
          <w:tcPr>
            <w:tcW w:w="739" w:type="dxa"/>
            <w:vAlign w:val="center"/>
            <w:textDirection w:val="lrTb"/>
            <w:noWrap w:val="false"/>
          </w:tcPr>
          <w:p>
            <w:pPr>
              <w:pStyle w:val="1070"/>
              <w:numPr>
                <w:ilvl w:val="0"/>
                <w:numId w:val="0"/>
              </w:num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r>
            <w:r/>
          </w:p>
        </w:tc>
        <w:tc>
          <w:tcPr>
            <w:tcW w:w="5244" w:type="dxa"/>
            <w:vAlign w:val="center"/>
            <w:textDirection w:val="lrTb"/>
            <w:noWrap w:val="false"/>
          </w:tcPr>
          <w:p>
            <w:pPr>
              <w:pStyle w:val="1070"/>
              <w:numPr>
                <w:ilvl w:val="0"/>
                <w:numId w:val="0"/>
              </w:num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供应商近 3 年</w:t>
            </w:r>
            <w:r>
              <w:rPr>
                <w:rFonts w:hint="eastAsia" w:ascii="宋体" w:hAnsi="宋体" w:eastAsia="宋体" w:cs="宋体"/>
                <w:sz w:val="24"/>
                <w:szCs w:val="24"/>
                <w:highlight w:val="none"/>
                <w:lang w:val="en-US" w:eastAsia="zh-CN"/>
              </w:rPr>
              <w:t xml:space="preserve">（开标之日往前推3年）</w:t>
            </w:r>
            <w:r>
              <w:rPr>
                <w:rFonts w:hint="eastAsia" w:ascii="宋体" w:hAnsi="宋体" w:eastAsia="宋体" w:cs="宋体"/>
                <w:sz w:val="24"/>
                <w:szCs w:val="24"/>
                <w:highlight w:val="none"/>
              </w:rPr>
              <w:t xml:space="preserve">承担过类似</w:t>
            </w:r>
            <w:r>
              <w:rPr>
                <w:rFonts w:hint="eastAsia" w:ascii="宋体" w:hAnsi="宋体" w:eastAsia="宋体" w:cs="宋体"/>
                <w:sz w:val="24"/>
                <w:szCs w:val="24"/>
                <w:highlight w:val="none"/>
                <w:lang w:val="en-US" w:eastAsia="zh-CN"/>
              </w:rPr>
              <w:t xml:space="preserve">运营服务</w:t>
            </w:r>
            <w:r>
              <w:rPr>
                <w:rFonts w:hint="eastAsia" w:ascii="宋体" w:hAnsi="宋体" w:eastAsia="宋体" w:cs="宋体"/>
                <w:sz w:val="24"/>
                <w:szCs w:val="24"/>
                <w:highlight w:val="none"/>
              </w:rPr>
              <w:t xml:space="preserve">业绩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包括保洁合同中包含类似运营服务的项目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的，有 1 个得 </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分，本项最高 </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分。</w:t>
            </w:r>
            <w:r>
              <w:rPr>
                <w:rFonts w:hint="eastAsia" w:ascii="宋体" w:hAnsi="宋体" w:eastAsia="宋体" w:cs="宋体"/>
                <w:sz w:val="24"/>
                <w:szCs w:val="24"/>
                <w:highlight w:val="none"/>
                <w:lang w:val="en-US" w:eastAsia="zh-CN"/>
              </w:rPr>
            </w:r>
            <w:r/>
          </w:p>
          <w:p>
            <w:pPr>
              <w:pStyle w:val="1070"/>
              <w:numPr>
                <w:ilvl w:val="0"/>
                <w:numId w:val="0"/>
              </w:numPr>
              <w:ind w:firstLine="482"/>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注：响应文件中提供有效的业绩合同或协议书复印件，复印件均加盖供应商公章，否则不得分。（时间以合同签订时间为准）</w:t>
            </w:r>
            <w:r>
              <w:rPr>
                <w:rFonts w:hint="eastAsia" w:ascii="宋体" w:hAnsi="宋体" w:eastAsia="宋体" w:cs="宋体"/>
                <w:sz w:val="24"/>
                <w:szCs w:val="24"/>
                <w:highlight w:val="none"/>
                <w:lang w:val="en-US" w:eastAsia="zh-CN"/>
              </w:rPr>
            </w:r>
            <w:r/>
          </w:p>
        </w:tc>
        <w:tc>
          <w:tcPr>
            <w:tcW w:w="1277" w:type="dxa"/>
            <w:vAlign w:val="center"/>
            <w:textDirection w:val="lrTb"/>
            <w:noWrap w:val="false"/>
          </w:tcPr>
          <w:p>
            <w:pPr>
              <w:pStyle w:val="1070"/>
              <w:ind w:left="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7"/>
        </w:trPr>
        <w:tc>
          <w:tcPr>
            <w:tcW w:w="581" w:type="dxa"/>
            <w:vAlign w:val="center"/>
            <w:textDirection w:val="lrTb"/>
            <w:noWrap w:val="false"/>
          </w:tcPr>
          <w:p>
            <w:pPr>
              <w:pStyle w:val="1070"/>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lang w:val="en-US" w:eastAsia="zh-CN"/>
              </w:rPr>
              <w:t xml:space="preserve">3.3</w:t>
            </w:r>
            <w:r>
              <w:rPr>
                <w:rFonts w:hint="eastAsia"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1070"/>
              <w:jc w:val="center"/>
              <w:spacing w:line="360" w:lineRule="auto"/>
              <w:widowControl/>
              <w:rPr>
                <w:rFonts w:hint="eastAsia" w:ascii="宋体" w:hAnsi="宋体" w:eastAsia="宋体" w:cs="宋体"/>
                <w:b/>
                <w:lang w:val="en-US" w:eastAsia="zh-CN"/>
              </w:rPr>
            </w:pPr>
            <w:r>
              <w:rPr>
                <w:rFonts w:hint="eastAsia" w:ascii="宋体" w:hAnsi="宋体" w:eastAsia="宋体" w:cs="宋体"/>
                <w:sz w:val="24"/>
                <w:szCs w:val="24"/>
                <w:highlight w:val="none"/>
                <w:lang w:val="en-US" w:eastAsia="zh-CN"/>
              </w:rPr>
              <w:t xml:space="preserve">规范用工承诺</w:t>
            </w:r>
            <w:r>
              <w:rPr>
                <w:rFonts w:hint="eastAsia" w:ascii="宋体" w:hAnsi="宋体" w:eastAsia="宋体" w:cs="宋体"/>
                <w:b/>
                <w:lang w:val="en-US" w:eastAsia="zh-CN"/>
              </w:rPr>
            </w:r>
            <w:r/>
          </w:p>
        </w:tc>
        <w:tc>
          <w:tcPr>
            <w:tcW w:w="739" w:type="dxa"/>
            <w:vAlign w:val="center"/>
            <w:textDirection w:val="lrTb"/>
            <w:noWrap w:val="false"/>
          </w:tcPr>
          <w:p>
            <w:pPr>
              <w:pStyle w:val="1070"/>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5244" w:type="dxa"/>
            <w:vAlign w:val="center"/>
            <w:textDirection w:val="lrTb"/>
            <w:noWrap w:val="false"/>
          </w:tcPr>
          <w:p>
            <w:pPr>
              <w:pStyle w:val="1334"/>
              <w:ind w:left="0" w:firstLine="0"/>
              <w:spacing w:line="288" w:lineRule="auto"/>
              <w:widowControl w:val="off"/>
              <w:tabs>
                <w:tab w:val="left" w:pos="31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（1）承诺人员按规定时间配备到位，劳动用工符合国家劳动法规，全部签订劳动合同、办理社会统筹保险，承诺超龄人员（不得＞65周岁）不超过总人数</w:t>
            </w:r>
            <w:r>
              <w:rPr>
                <w:rFonts w:hint="eastAsia" w:ascii="宋体" w:hAnsi="宋体" w:eastAsia="宋体" w:cs="宋体"/>
                <w:b/>
                <w:bCs/>
                <w:sz w:val="24"/>
                <w:szCs w:val="24"/>
                <w:highlight w:val="none"/>
                <w:lang w:val="en-US" w:eastAsia="zh-CN" w:bidi="ar-SA"/>
              </w:rPr>
              <w:t xml:space="preserve">的20%，得</w:t>
            </w:r>
            <w:r>
              <w:rPr>
                <w:rFonts w:hint="eastAsia" w:ascii="宋体" w:hAnsi="宋体" w:eastAsia="宋体" w:cs="宋体"/>
                <w:sz w:val="24"/>
                <w:szCs w:val="24"/>
                <w:highlight w:val="none"/>
                <w:lang w:val="en-US" w:eastAsia="zh-CN" w:bidi="ar-SA"/>
              </w:rPr>
              <w:t xml:space="preserve">1分，否则不得分；</w:t>
            </w:r>
            <w:r>
              <w:rPr>
                <w:rFonts w:hint="eastAsia" w:ascii="宋体" w:hAnsi="宋体" w:eastAsia="宋体" w:cs="宋体"/>
                <w:sz w:val="24"/>
                <w:szCs w:val="24"/>
                <w:highlight w:val="none"/>
                <w:lang w:val="en-US" w:eastAsia="zh-CN" w:bidi="ar-SA"/>
              </w:rPr>
            </w:r>
            <w:r/>
          </w:p>
          <w:p>
            <w:pPr>
              <w:pStyle w:val="1334"/>
              <w:ind w:left="0" w:firstLine="0"/>
              <w:spacing w:line="288" w:lineRule="auto"/>
              <w:widowControl w:val="off"/>
              <w:tabs>
                <w:tab w:val="left" w:pos="31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（2）承诺为本项目全部职工办理意外伤害保险，并在投标报价中体现，得1分，否则不得分；</w:t>
            </w:r>
            <w:r>
              <w:rPr>
                <w:rFonts w:hint="eastAsia" w:ascii="宋体" w:hAnsi="宋体" w:eastAsia="宋体" w:cs="宋体"/>
                <w:sz w:val="24"/>
                <w:szCs w:val="24"/>
                <w:highlight w:val="none"/>
                <w:lang w:val="en-US" w:eastAsia="zh-CN" w:bidi="ar-SA"/>
              </w:rPr>
            </w:r>
            <w:r/>
          </w:p>
          <w:p>
            <w:pPr>
              <w:pStyle w:val="1334"/>
              <w:ind w:left="0" w:firstLine="0"/>
              <w:spacing w:line="288" w:lineRule="auto"/>
              <w:widowControl w:val="off"/>
              <w:tabs>
                <w:tab w:val="left" w:pos="31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（3）承诺为本项目全部职工按照本地区标准发放高温费，为本项目全部职工发放劳动防护用品且在投标报价中体现，得1分，否则不得分；</w:t>
            </w:r>
            <w:r>
              <w:rPr>
                <w:rFonts w:hint="eastAsia" w:ascii="宋体" w:hAnsi="宋体" w:eastAsia="宋体" w:cs="宋体"/>
                <w:sz w:val="24"/>
                <w:szCs w:val="24"/>
                <w:highlight w:val="none"/>
                <w:lang w:val="en-US" w:eastAsia="zh-CN" w:bidi="ar-SA"/>
              </w:rPr>
            </w:r>
            <w:r/>
          </w:p>
          <w:p>
            <w:pPr>
              <w:pStyle w:val="1334"/>
              <w:ind w:left="0" w:firstLine="0"/>
              <w:spacing w:line="288" w:lineRule="auto"/>
              <w:widowControl w:val="off"/>
              <w:tabs>
                <w:tab w:val="left" w:pos="31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（4）承诺机械投入设备齐全，机械修理及时，及时响应招标人要求，得1分，否则不得分；</w:t>
            </w:r>
            <w:r>
              <w:rPr>
                <w:rFonts w:hint="eastAsia" w:ascii="宋体" w:hAnsi="宋体" w:eastAsia="宋体" w:cs="宋体"/>
                <w:sz w:val="24"/>
                <w:szCs w:val="24"/>
                <w:highlight w:val="none"/>
                <w:lang w:val="en-US" w:eastAsia="zh-CN" w:bidi="ar-SA"/>
              </w:rPr>
            </w:r>
            <w:r/>
          </w:p>
          <w:p>
            <w:pPr>
              <w:pStyle w:val="1334"/>
              <w:ind w:left="0" w:firstLine="0"/>
              <w:spacing w:line="288" w:lineRule="auto"/>
              <w:widowControl w:val="off"/>
              <w:tabs>
                <w:tab w:val="left" w:pos="31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（5）承诺有合同结束后人员安排计划，与下一中标单位的衔接，得1分，否则不得分。</w:t>
            </w:r>
            <w:r>
              <w:rPr>
                <w:rFonts w:hint="eastAsia" w:ascii="宋体" w:hAnsi="宋体" w:eastAsia="宋体" w:cs="宋体"/>
                <w:sz w:val="24"/>
                <w:szCs w:val="24"/>
                <w:highlight w:val="none"/>
                <w:lang w:val="en-US" w:eastAsia="zh-CN" w:bidi="ar-SA"/>
              </w:rPr>
            </w:r>
            <w:r/>
          </w:p>
          <w:p>
            <w:pPr>
              <w:pStyle w:val="1334"/>
              <w:ind w:left="0" w:firstLine="482"/>
              <w:spacing w:line="288" w:lineRule="auto"/>
              <w:widowControl w:val="off"/>
              <w:tabs>
                <w:tab w:val="left" w:pos="318" w:leader="none"/>
              </w:tabs>
              <w:rPr>
                <w:rFonts w:hint="eastAsia" w:ascii="宋体" w:hAnsi="宋体" w:eastAsia="宋体" w:cs="宋体"/>
                <w:b/>
                <w:bCs/>
                <w:lang w:val="en-US" w:eastAsia="zh-CN"/>
              </w:rPr>
            </w:pPr>
            <w:r>
              <w:rPr>
                <w:rFonts w:hint="eastAsia" w:ascii="宋体" w:hAnsi="宋体" w:eastAsia="宋体" w:cs="宋体"/>
                <w:b/>
                <w:bCs/>
                <w:sz w:val="24"/>
                <w:szCs w:val="24"/>
                <w:highlight w:val="none"/>
                <w:lang w:val="en-US" w:eastAsia="zh-CN" w:bidi="ar-SA"/>
              </w:rPr>
              <w:t xml:space="preserve">注：提供承诺函，格式自拟。</w:t>
            </w:r>
            <w:r>
              <w:rPr>
                <w:rFonts w:hint="eastAsia" w:ascii="宋体" w:hAnsi="宋体" w:eastAsia="宋体" w:cs="宋体"/>
                <w:b/>
                <w:bCs/>
                <w:lang w:val="en-US" w:eastAsia="zh-CN"/>
              </w:rPr>
            </w:r>
            <w:r/>
          </w:p>
        </w:tc>
        <w:tc>
          <w:tcPr>
            <w:tcW w:w="1277" w:type="dxa"/>
            <w:vAlign w:val="center"/>
            <w:textDirection w:val="lrTb"/>
            <w:noWrap w:val="false"/>
          </w:tcPr>
          <w:p>
            <w:pPr>
              <w:pStyle w:val="1070"/>
              <w:ind w:left="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7"/>
        </w:trPr>
        <w:tc>
          <w:tcPr>
            <w:tcW w:w="581" w:type="dxa"/>
            <w:vAlign w:val="center"/>
            <w:textDirection w:val="lrTb"/>
            <w:noWrap w:val="false"/>
          </w:tcPr>
          <w:p>
            <w:pPr>
              <w:pStyle w:val="1070"/>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ascii="宋体" w:hAnsi="宋体" w:eastAsia="宋体" w:cs="宋体"/>
                <w:sz w:val="24"/>
                <w:szCs w:val="24"/>
                <w:lang w:val="en-US" w:eastAsia="zh-CN"/>
              </w:rPr>
            </w:r>
            <w:r/>
          </w:p>
        </w:tc>
        <w:tc>
          <w:tcPr>
            <w:tcW w:w="2156" w:type="dxa"/>
            <w:vAlign w:val="center"/>
            <w:textDirection w:val="lrTb"/>
            <w:noWrap w:val="false"/>
          </w:tcPr>
          <w:p>
            <w:pPr>
              <w:pStyle w:val="1070"/>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相关承诺</w:t>
            </w:r>
            <w:r>
              <w:rPr>
                <w:rFonts w:ascii="宋体" w:hAnsi="宋体" w:eastAsia="宋体" w:cs="宋体"/>
                <w:sz w:val="24"/>
                <w:szCs w:val="24"/>
                <w:lang w:val="en-US" w:eastAsia="zh-CN"/>
              </w:rPr>
            </w:r>
            <w:r/>
          </w:p>
        </w:tc>
        <w:tc>
          <w:tcPr>
            <w:tcW w:w="739" w:type="dxa"/>
            <w:vAlign w:val="center"/>
            <w:textDirection w:val="lrTb"/>
            <w:noWrap w:val="false"/>
          </w:tcPr>
          <w:p>
            <w:pPr>
              <w:pStyle w:val="107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5244" w:type="dxa"/>
            <w:vAlign w:val="center"/>
            <w:textDirection w:val="lrTb"/>
            <w:noWrap w:val="false"/>
          </w:tcPr>
          <w:p>
            <w:pPr>
              <w:pStyle w:val="1070"/>
              <w:ind w:firstLine="480"/>
              <w:jc w:val="left"/>
              <w:spacing w:line="360" w:lineRule="auto"/>
              <w:rPr>
                <w:rFonts w:hint="eastAsia" w:ascii="宋体" w:hAnsi="宋体" w:eastAsia="宋体" w:cs="宋体"/>
                <w:b/>
                <w:bCs/>
                <w:i w:val="0"/>
                <w:iCs w:val="0"/>
                <w:sz w:val="24"/>
                <w:szCs w:val="24"/>
                <w:lang w:val="en-US" w:eastAsia="zh-CN"/>
              </w:rPr>
            </w:pPr>
            <w:r>
              <w:rPr>
                <w:rFonts w:hint="eastAsia" w:ascii="宋体" w:hAnsi="宋体" w:eastAsia="宋体" w:cs="宋体"/>
                <w:b w:val="0"/>
                <w:bCs w:val="0"/>
                <w:i w:val="0"/>
                <w:iCs w:val="0"/>
                <w:sz w:val="24"/>
                <w:szCs w:val="24"/>
                <w:lang w:val="en-US" w:eastAsia="zh-CN"/>
              </w:rPr>
              <w:t xml:space="preserve">投标供应商作出相关承诺，包括但不限于保证运营期内本项目的车辆卫生保洁、驾驶人员的统一着装、服务创新、服务质量标准化、安全、环境保护等相关内容</w:t>
            </w:r>
            <w:r>
              <w:rPr>
                <w:rFonts w:hint="eastAsia" w:ascii="宋体" w:hAnsi="宋体" w:eastAsia="宋体" w:cs="宋体"/>
                <w:b/>
                <w:bCs/>
                <w:i w:val="0"/>
                <w:iCs w:val="0"/>
                <w:sz w:val="24"/>
                <w:szCs w:val="24"/>
                <w:lang w:val="en-US" w:eastAsia="zh-CN"/>
              </w:rPr>
              <w:t xml:space="preserve">。</w:t>
            </w:r>
            <w:r>
              <w:rPr>
                <w:rFonts w:hint="eastAsia" w:ascii="宋体" w:hAnsi="宋体" w:eastAsia="宋体" w:cs="宋体"/>
                <w:b/>
                <w:bCs/>
                <w:i w:val="0"/>
                <w:iCs w:val="0"/>
                <w:sz w:val="24"/>
                <w:szCs w:val="24"/>
                <w:lang w:val="en-US" w:eastAsia="zh-CN"/>
              </w:rPr>
            </w:r>
            <w:r/>
          </w:p>
          <w:p>
            <w:pPr>
              <w:pStyle w:val="1070"/>
              <w:ind w:firstLine="482"/>
              <w:jc w:val="left"/>
              <w:spacing w:line="360" w:lineRule="auto"/>
              <w:rPr>
                <w:rFonts w:ascii="宋体" w:hAnsi="宋体" w:eastAsia="宋体" w:cs="宋体"/>
                <w:b/>
                <w:bCs/>
                <w:i w:val="0"/>
                <w:iCs w:val="0"/>
                <w:sz w:val="24"/>
                <w:szCs w:val="24"/>
                <w:lang w:val="en-US" w:eastAsia="zh-CN"/>
              </w:rPr>
            </w:pPr>
            <w:r>
              <w:rPr>
                <w:rFonts w:hint="eastAsia" w:ascii="宋体" w:hAnsi="宋体" w:eastAsia="宋体" w:cs="宋体"/>
                <w:b/>
                <w:bCs/>
                <w:i w:val="0"/>
                <w:iCs w:val="0"/>
                <w:sz w:val="24"/>
                <w:szCs w:val="24"/>
                <w:lang w:val="en-US" w:eastAsia="zh-CN"/>
              </w:rPr>
              <w:t xml:space="preserve">提供承诺书且承诺内容齐全的得2分，承诺书格式自拟，不提供或承诺不齐全不得分。</w:t>
            </w:r>
            <w:r>
              <w:rPr>
                <w:rFonts w:ascii="宋体" w:hAnsi="宋体" w:eastAsia="宋体" w:cs="宋体"/>
                <w:b/>
                <w:bCs/>
                <w:i w:val="0"/>
                <w:iCs w:val="0"/>
                <w:sz w:val="24"/>
                <w:szCs w:val="24"/>
                <w:lang w:val="en-US" w:eastAsia="zh-CN"/>
              </w:rPr>
            </w:r>
            <w:r/>
          </w:p>
        </w:tc>
        <w:tc>
          <w:tcPr>
            <w:tcW w:w="1277" w:type="dxa"/>
            <w:vAlign w:val="center"/>
            <w:textDirection w:val="lrTb"/>
            <w:noWrap w:val="false"/>
          </w:tcPr>
          <w:p>
            <w:pPr>
              <w:pStyle w:val="1070"/>
              <w:ind w:left="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18"/>
        </w:trPr>
        <w:tc>
          <w:tcPr>
            <w:gridSpan w:val="2"/>
            <w:tcW w:w="2737" w:type="dxa"/>
            <w:vAlign w:val="center"/>
            <w:textDirection w:val="lrTb"/>
            <w:noWrap w:val="false"/>
          </w:tcPr>
          <w:p>
            <w:pPr>
              <w:pStyle w:val="1070"/>
              <w:ind w:left="0"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739" w:type="dxa"/>
            <w:vAlign w:val="center"/>
            <w:textDirection w:val="lrTb"/>
            <w:noWrap w:val="false"/>
          </w:tcPr>
          <w:p>
            <w:pPr>
              <w:pStyle w:val="1070"/>
              <w:ind w:left="0"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6521" w:type="dxa"/>
            <w:vAlign w:val="center"/>
            <w:textDirection w:val="lrTb"/>
            <w:noWrap w:val="false"/>
          </w:tcPr>
          <w:p>
            <w:pPr>
              <w:pStyle w:val="1070"/>
              <w:ind w:left="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70"/>
        <w:jc w:val="center"/>
        <w:spacing w:line="360" w:lineRule="auto"/>
        <w:rPr>
          <w:sz w:val="24"/>
        </w:rPr>
        <w:outlineLvl w:val="0"/>
      </w:pPr>
      <w:r>
        <w:rPr>
          <w:b/>
          <w:sz w:val="36"/>
          <w:szCs w:val="36"/>
        </w:rPr>
        <w:br w:type="page" w:clear="all"/>
      </w:r>
      <w:bookmarkStart w:id="536" w:name="_Toc104818928"/>
      <w:r>
        <w:rPr>
          <w:b/>
          <w:sz w:val="36"/>
          <w:szCs w:val="36"/>
        </w:rPr>
        <w:t xml:space="preserve">第四章   采购需求</w:t>
      </w:r>
      <w:bookmarkEnd w:id="536"/>
      <w:r>
        <w:rPr>
          <w:sz w:val="24"/>
        </w:rPr>
      </w:r>
      <w:r/>
    </w:p>
    <w:p>
      <w:pPr>
        <w:pStyle w:val="1168"/>
        <w:contextualSpacing/>
        <w:ind w:left="500" w:hanging="500"/>
        <w:spacing w:line="360" w:lineRule="auto"/>
        <w:rPr>
          <w:rFonts w:ascii="Times New Roman" w:hAnsi="Times New Roman"/>
          <w:b/>
          <w:sz w:val="24"/>
          <w:szCs w:val="24"/>
        </w:rPr>
      </w:pPr>
      <w:r/>
      <w:bookmarkStart w:id="537" w:name="_Toc296890982"/>
      <w:r/>
      <w:bookmarkStart w:id="538" w:name="_Toc351203480"/>
      <w:r/>
      <w:bookmarkStart w:id="539" w:name="_Toc296503025"/>
      <w:r>
        <w:rPr>
          <w:rFonts w:ascii="Times New Roman" w:hAnsi="Times New Roman"/>
          <w:b/>
          <w:sz w:val="24"/>
          <w:szCs w:val="24"/>
        </w:rPr>
        <w:t xml:space="preserve">一、采购标的</w:t>
      </w:r>
      <w:r>
        <w:rPr>
          <w:rFonts w:ascii="Times New Roman" w:hAnsi="Times New Roman"/>
          <w:b/>
          <w:sz w:val="24"/>
          <w:szCs w:val="24"/>
        </w:rPr>
      </w:r>
      <w:r/>
    </w:p>
    <w:p>
      <w:pPr>
        <w:pStyle w:val="1070"/>
        <w:contextualSpacing/>
        <w:ind w:firstLine="480"/>
        <w:spacing w:line="360" w:lineRule="auto"/>
        <w:rPr>
          <w:rFonts w:hint="eastAsia" w:eastAsia="宋体"/>
          <w:bCs/>
          <w:sz w:val="24"/>
          <w:lang w:eastAsia="zh-CN"/>
        </w:rPr>
      </w:pPr>
      <w:r>
        <w:rPr>
          <w:rFonts w:hint="eastAsia"/>
          <w:bCs/>
          <w:sz w:val="24"/>
        </w:rPr>
        <w:t xml:space="preserve">1.</w:t>
      </w:r>
      <w:r>
        <w:rPr>
          <w:bCs/>
          <w:sz w:val="24"/>
        </w:rPr>
        <w:t xml:space="preserve">采购标的</w:t>
      </w:r>
      <w:r>
        <w:rPr>
          <w:rFonts w:hint="eastAsia"/>
          <w:bCs/>
          <w:sz w:val="24"/>
        </w:rPr>
        <w:t xml:space="preserve">：</w:t>
      </w:r>
      <w:r>
        <w:rPr>
          <w:rFonts w:hint="eastAsia"/>
          <w:bCs/>
          <w:sz w:val="24"/>
          <w:lang w:eastAsia="zh-CN"/>
        </w:rPr>
        <w:t xml:space="preserve">2025年社渚镇环卫综合处理中心运营项目</w:t>
      </w:r>
      <w:r>
        <w:rPr>
          <w:rFonts w:hint="eastAsia" w:eastAsia="宋体"/>
          <w:bCs/>
          <w:sz w:val="24"/>
          <w:lang w:eastAsia="zh-CN"/>
        </w:rPr>
      </w:r>
      <w:r/>
    </w:p>
    <w:p>
      <w:pPr>
        <w:pStyle w:val="1070"/>
        <w:contextualSpacing/>
        <w:ind w:firstLine="480"/>
        <w:spacing w:line="360" w:lineRule="auto"/>
        <w:rPr>
          <w:rFonts w:hint="eastAsia"/>
          <w:bCs/>
          <w:sz w:val="24"/>
          <w:szCs w:val="24"/>
        </w:rPr>
      </w:pPr>
      <w:r>
        <w:rPr>
          <w:rFonts w:hint="eastAsia"/>
          <w:bCs/>
          <w:sz w:val="24"/>
          <w:szCs w:val="24"/>
        </w:rPr>
        <w:t xml:space="preserve">2.项目背景：</w:t>
      </w:r>
      <w:r>
        <w:rPr>
          <w:rFonts w:hint="eastAsia"/>
          <w:bCs/>
          <w:sz w:val="24"/>
          <w:szCs w:val="24"/>
          <w:lang w:val="en-US" w:eastAsia="zh-CN"/>
        </w:rPr>
        <w:t xml:space="preserve">因</w:t>
      </w:r>
      <w:r>
        <w:rPr>
          <w:rFonts w:hint="eastAsia" w:ascii="Times New Roman" w:hAnsi="Times New Roman" w:eastAsia="宋体" w:cs="Times New Roman"/>
          <w:bCs/>
          <w:sz w:val="24"/>
          <w:lang w:eastAsia="zh-CN"/>
        </w:rPr>
        <w:t xml:space="preserve">社渚镇环卫综合处理中心运营项目</w:t>
      </w:r>
      <w:r>
        <w:rPr>
          <w:rFonts w:hint="eastAsia" w:ascii="Times New Roman" w:hAnsi="Times New Roman" w:eastAsia="宋体" w:cs="Times New Roman"/>
          <w:bCs/>
          <w:sz w:val="24"/>
          <w:lang w:val="en-US" w:eastAsia="zh-CN"/>
        </w:rPr>
        <w:t xml:space="preserve">服务将到期，为能保障日常运营服务，采购此项目</w:t>
      </w:r>
      <w:r>
        <w:rPr>
          <w:rFonts w:hint="eastAsia"/>
          <w:bCs/>
          <w:sz w:val="24"/>
          <w:szCs w:val="24"/>
        </w:rPr>
        <w:t xml:space="preserve">。</w:t>
      </w:r>
      <w:r>
        <w:rPr>
          <w:rFonts w:hint="eastAsia"/>
          <w:bCs/>
          <w:sz w:val="24"/>
          <w:szCs w:val="24"/>
        </w:rPr>
      </w:r>
      <w:r/>
    </w:p>
    <w:p>
      <w:pPr>
        <w:pStyle w:val="1168"/>
        <w:contextualSpacing/>
        <w:ind w:firstLine="0"/>
        <w:spacing w:line="360" w:lineRule="auto"/>
        <w:rPr>
          <w:rFonts w:ascii="Times New Roman" w:hAnsi="Times New Roman"/>
          <w:b/>
          <w:sz w:val="24"/>
          <w:szCs w:val="24"/>
        </w:rPr>
      </w:pPr>
      <w:r>
        <w:rPr>
          <w:rFonts w:ascii="Times New Roman" w:hAnsi="Times New Roman"/>
          <w:b/>
          <w:sz w:val="24"/>
          <w:szCs w:val="24"/>
        </w:rPr>
        <w:t xml:space="preserve">二、商务要求</w:t>
      </w:r>
      <w:r>
        <w:rPr>
          <w:rFonts w:ascii="Times New Roman" w:hAnsi="Times New Roman"/>
          <w:b/>
          <w:sz w:val="24"/>
          <w:szCs w:val="24"/>
        </w:rPr>
      </w:r>
      <w:r/>
    </w:p>
    <w:p>
      <w:pPr>
        <w:pStyle w:val="1070"/>
        <w:ind w:firstLine="480"/>
        <w:spacing w:line="360" w:lineRule="auto"/>
        <w:rPr>
          <w:rFonts w:hint="eastAsia" w:ascii="Times New Roman" w:hAnsi="Times New Roman" w:eastAsia="宋体" w:cs="Times New Roman"/>
          <w:sz w:val="24"/>
          <w:highlight w:val="none"/>
        </w:rPr>
      </w:pPr>
      <w:r>
        <w:rPr>
          <w:sz w:val="24"/>
        </w:rPr>
        <w:t xml:space="preserve">1.实施的期限</w:t>
      </w:r>
      <w:r>
        <w:rPr>
          <w:rFonts w:hint="eastAsia"/>
          <w:sz w:val="24"/>
          <w:highlight w:val="none"/>
        </w:rPr>
        <w:t xml:space="preserve">：</w:t>
      </w:r>
      <w:r>
        <w:rPr>
          <w:rFonts w:hint="eastAsia" w:ascii="Times New Roman" w:eastAsia="宋体"/>
          <w:b/>
          <w:bCs/>
          <w:sz w:val="24"/>
          <w:highlight w:val="none"/>
          <w:lang w:val="en-US" w:eastAsia="zh-CN"/>
        </w:rPr>
        <w:t xml:space="preserve">1</w:t>
      </w:r>
      <w:r>
        <w:rPr>
          <w:rFonts w:hint="eastAsia"/>
          <w:b/>
          <w:bCs/>
          <w:sz w:val="24"/>
          <w:highlight w:val="none"/>
        </w:rPr>
        <w:t xml:space="preserve">年</w:t>
      </w:r>
      <w:r>
        <w:rPr>
          <w:rFonts w:hint="eastAsia" w:eastAsia="宋体"/>
          <w:b/>
          <w:bCs/>
          <w:sz w:val="24"/>
          <w:highlight w:val="none"/>
          <w:lang w:eastAsia="zh-CN"/>
        </w:rPr>
        <w:t xml:space="preserve">（</w:t>
      </w:r>
      <w:r>
        <w:rPr>
          <w:rFonts w:hint="eastAsia" w:ascii="Times New Roman" w:eastAsia="宋体"/>
          <w:b/>
          <w:bCs/>
          <w:sz w:val="24"/>
          <w:highlight w:val="none"/>
          <w:lang w:val="en-US" w:eastAsia="zh-CN"/>
        </w:rPr>
        <w:t xml:space="preserve">具体以甲方通知进场时间为准</w:t>
      </w:r>
      <w:r>
        <w:rPr>
          <w:rFonts w:hint="eastAsia" w:eastAsia="宋体"/>
          <w:b/>
          <w:bCs/>
          <w:sz w:val="24"/>
          <w:highlight w:val="none"/>
          <w:lang w:eastAsia="zh-CN"/>
        </w:rPr>
        <w:t xml:space="preserve">）</w:t>
      </w:r>
      <w:r>
        <w:rPr>
          <w:rFonts w:hint="eastAsia"/>
          <w:b/>
          <w:bCs/>
          <w:sz w:val="24"/>
          <w:highlight w:val="none"/>
        </w:rPr>
        <w:t xml:space="preserve">。</w:t>
      </w:r>
      <w:r>
        <w:rPr>
          <w:rFonts w:hint="eastAsia" w:ascii="Times New Roman" w:hAnsi="Times New Roman" w:eastAsia="宋体" w:cs="Times New Roman"/>
          <w:sz w:val="24"/>
          <w:highlight w:val="none"/>
        </w:rPr>
      </w:r>
      <w:r/>
    </w:p>
    <w:p>
      <w:pPr>
        <w:pStyle w:val="1070"/>
        <w:ind w:firstLine="480"/>
        <w:spacing w:line="360" w:lineRule="auto"/>
        <w:tabs>
          <w:tab w:val="left" w:pos="1080" w:leader="none"/>
        </w:tabs>
        <w:rPr>
          <w:rFonts w:hint="eastAsia"/>
          <w:sz w:val="24"/>
          <w:lang w:val="en-US" w:eastAsia="zh-CN"/>
        </w:rPr>
      </w:pPr>
      <w:r>
        <w:rPr>
          <w:rFonts w:hint="eastAsia"/>
          <w:sz w:val="24"/>
        </w:rPr>
        <w:t xml:space="preserve">2.地点：</w:t>
      </w:r>
      <w:r>
        <w:rPr>
          <w:rFonts w:hint="eastAsia"/>
          <w:sz w:val="24"/>
          <w:lang w:val="en-US" w:eastAsia="zh-CN"/>
        </w:rPr>
        <w:t xml:space="preserve">社渚镇 </w:t>
      </w:r>
      <w:r>
        <w:rPr>
          <w:rFonts w:hint="eastAsia"/>
          <w:sz w:val="24"/>
          <w:lang w:val="en-US" w:eastAsia="zh-CN"/>
        </w:rPr>
      </w:r>
      <w:r/>
    </w:p>
    <w:p>
      <w:pPr>
        <w:pStyle w:val="1070"/>
        <w:ind w:firstLine="480"/>
        <w:spacing w:line="360" w:lineRule="auto"/>
        <w:tabs>
          <w:tab w:val="left" w:pos="1080" w:leader="none"/>
        </w:tabs>
        <w:rPr>
          <w:rFonts w:hint="eastAsia" w:ascii="宋体" w:hAnsi="宋体" w:cs="宋体"/>
          <w:sz w:val="24"/>
        </w:rPr>
      </w:pPr>
      <w:r>
        <w:rPr>
          <w:rFonts w:hint="eastAsia"/>
          <w:sz w:val="24"/>
        </w:rPr>
        <w:t xml:space="preserve">3.</w:t>
      </w:r>
      <w:r>
        <w:rPr>
          <w:rFonts w:hint="eastAsia" w:ascii="宋体" w:hAnsi="宋体" w:cs="宋体"/>
          <w:sz w:val="24"/>
        </w:rPr>
        <w:t xml:space="preserve">付款条件（进度和方式）：</w:t>
      </w:r>
      <w:r>
        <w:rPr>
          <w:rFonts w:hint="eastAsia" w:ascii="宋体" w:hAnsi="宋体" w:cs="宋体"/>
          <w:sz w:val="24"/>
        </w:rPr>
      </w:r>
      <w:r/>
    </w:p>
    <w:p>
      <w:pPr>
        <w:pStyle w:val="1070"/>
        <w:ind w:firstLine="482"/>
        <w:spacing w:line="360" w:lineRule="auto"/>
        <w:tabs>
          <w:tab w:val="left" w:pos="1080" w:leader="none"/>
        </w:tabs>
        <w:rPr>
          <w:rFonts w:hint="eastAsia" w:ascii="宋体" w:hAnsi="宋体" w:cs="宋体"/>
          <w:b/>
          <w:bCs/>
          <w:sz w:val="24"/>
          <w:highlight w:val="none"/>
        </w:rPr>
      </w:pPr>
      <w:r>
        <w:rPr>
          <w:rFonts w:hint="eastAsia" w:ascii="宋体" w:hAnsi="宋体" w:cs="宋体"/>
          <w:b/>
          <w:bCs/>
          <w:sz w:val="24"/>
          <w:highlight w:val="none"/>
        </w:rPr>
        <w:t xml:space="preserve">运营服务费按季度支付。每季度（三个月为1个季度，一年4个季度）支付一次，具体金额根据《社渚镇环卫综合处理中心运营标准及考核评分细则》（见附件）进行考核，以考核结果为准，季度支付公式：季度款=合同价（每年费用）/4（季度数）*运营绩效考核成绩系数。运营期绩效考核每季度不低于3次，成绩取其平均数，由社渚镇综合行政执法局组织执行，每季度末计算考核成绩，具体考核系数标准为：</w:t>
      </w:r>
      <w:r>
        <w:rPr>
          <w:rFonts w:hint="eastAsia" w:ascii="宋体" w:hAnsi="宋体" w:cs="宋体"/>
          <w:b/>
          <w:bCs/>
          <w:sz w:val="24"/>
          <w:highlight w:val="none"/>
        </w:rPr>
      </w:r>
      <w:r/>
    </w:p>
    <w:p>
      <w:pPr>
        <w:pStyle w:val="1070"/>
        <w:ind w:firstLine="482"/>
        <w:spacing w:line="360" w:lineRule="auto"/>
        <w:tabs>
          <w:tab w:val="left" w:pos="1080" w:leader="none"/>
        </w:tabs>
        <w:rPr>
          <w:rFonts w:hint="eastAsia" w:ascii="宋体" w:hAnsi="宋体" w:eastAsia="宋体" w:cs="宋体"/>
          <w:b/>
          <w:bCs/>
          <w:sz w:val="24"/>
          <w:highlight w:val="none"/>
          <w:lang w:val="en-US" w:eastAsia="zh-CN"/>
        </w:rPr>
      </w:pPr>
      <w:r>
        <w:rPr>
          <w:rFonts w:hint="eastAsia" w:ascii="宋体" w:hAnsi="宋体" w:cs="宋体"/>
          <w:b/>
          <w:bCs/>
          <w:sz w:val="24"/>
          <w:highlight w:val="none"/>
        </w:rPr>
        <w:t xml:space="preserve">考核成绩在90分及以上，运营绩效考核成绩系数为1；考核成绩在90~80分的，运营绩效考核成绩系数为0.95；考核成绩在80~70分的，运营绩效考核成绩系数为0.9；考核成绩在70~60分的，运营绩效考核成绩系数为0.8；考核成绩在60分及以下，运营绩效考核成绩系数为0.6（运营期内考核结果连续2个季度或全年累计有3个季度低于60分的，甲方有权终止合同）。  </w:t>
      </w:r>
      <w:r>
        <w:rPr>
          <w:rFonts w:hint="eastAsia" w:ascii="宋体" w:hAnsi="宋体" w:eastAsia="宋体" w:cs="宋体"/>
          <w:b/>
          <w:bCs/>
          <w:sz w:val="24"/>
          <w:highlight w:val="none"/>
          <w:lang w:val="en-US" w:eastAsia="zh-CN"/>
        </w:rPr>
      </w:r>
      <w:r/>
    </w:p>
    <w:p>
      <w:pPr>
        <w:pStyle w:val="1070"/>
        <w:ind w:firstLine="480"/>
        <w:spacing w:line="360" w:lineRule="auto"/>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rPr>
        <w:t xml:space="preserve">质量要求：符合甲方</w:t>
      </w:r>
      <w:r>
        <w:rPr>
          <w:rFonts w:hint="eastAsia" w:ascii="Times New Roman" w:hAnsi="Times New Roman" w:eastAsia="宋体" w:cs="Times New Roman"/>
          <w:sz w:val="24"/>
          <w:lang w:val="en-US" w:eastAsia="zh-CN"/>
        </w:rPr>
        <w:t xml:space="preserve">相关</w:t>
      </w:r>
      <w:r>
        <w:rPr>
          <w:rFonts w:hint="eastAsia" w:ascii="Times New Roman" w:hAnsi="Times New Roman" w:eastAsia="宋体" w:cs="Times New Roman"/>
          <w:sz w:val="24"/>
        </w:rPr>
        <w:t xml:space="preserve">要求</w:t>
      </w:r>
      <w:r>
        <w:rPr>
          <w:rFonts w:hint="eastAsia" w:ascii="Times New Roman" w:hAnsi="Times New Roman" w:eastAsia="宋体" w:cs="Times New Roman"/>
          <w:sz w:val="24"/>
        </w:rPr>
      </w:r>
      <w:r/>
    </w:p>
    <w:p>
      <w:pPr>
        <w:pStyle w:val="1070"/>
        <w:spacing w:line="360" w:lineRule="auto"/>
        <w:tabs>
          <w:tab w:val="left" w:pos="1080" w:leader="none"/>
        </w:tabs>
        <w:rPr>
          <w:rFonts w:hint="eastAsia" w:ascii="宋体" w:hAnsi="宋体" w:cs="宋体"/>
          <w:sz w:val="24"/>
        </w:rPr>
      </w:pPr>
      <w:r>
        <w:rPr>
          <w:rFonts w:hint="eastAsia" w:ascii="宋体" w:hAnsi="宋体" w:cs="宋体"/>
          <w:sz w:val="24"/>
        </w:rPr>
        <w:t xml:space="preserve">三、技术要求</w:t>
      </w:r>
      <w:r>
        <w:rPr>
          <w:rFonts w:hint="eastAsia" w:ascii="宋体" w:hAnsi="宋体" w:cs="宋体"/>
          <w:sz w:val="24"/>
        </w:rPr>
      </w:r>
      <w:r/>
    </w:p>
    <w:p>
      <w:pPr>
        <w:pStyle w:val="1070"/>
        <w:ind w:firstLine="482"/>
        <w:spacing w:line="360" w:lineRule="auto"/>
        <w:rPr>
          <w:rFonts w:hint="eastAsia" w:ascii="宋体" w:hAnsi="宋体" w:cs="宋体"/>
          <w:sz w:val="24"/>
        </w:rPr>
      </w:pPr>
      <w:r>
        <w:rPr>
          <w:rFonts w:hint="eastAsia"/>
          <w:b/>
          <w:bCs/>
          <w:sz w:val="24"/>
        </w:rPr>
        <w:t xml:space="preserve">1.</w:t>
      </w:r>
      <w:r>
        <w:rPr>
          <w:rFonts w:hint="eastAsia" w:ascii="宋体" w:hAnsi="宋体" w:cs="宋体"/>
          <w:sz w:val="24"/>
        </w:rPr>
        <w:t xml:space="preserve">其他要求</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按照《政府采购促进中小企业发展管理办法》（财库</w:t>
      </w:r>
      <w:r>
        <w:rPr>
          <w:rFonts w:hint="eastAsia" w:ascii="宋体" w:hAnsi="宋体" w:cs="宋体"/>
          <w:sz w:val="24"/>
          <w:lang w:eastAsia="zh-CN"/>
        </w:rPr>
        <w:t xml:space="preserve">〔2020〕46号</w:t>
      </w:r>
      <w:r>
        <w:rPr>
          <w:rFonts w:hint="eastAsia" w:ascii="宋体" w:hAnsi="宋体" w:cs="宋体"/>
          <w:sz w:val="24"/>
        </w:rPr>
        <w:t xml:space="preserve">）的相关要求，采购人应当面向中小企业预留采购份额，本项目面向中小企业预留份额</w:t>
      </w:r>
      <w:r>
        <w:rPr>
          <w:rFonts w:hint="eastAsia" w:ascii="宋体" w:hAnsi="宋体" w:cs="宋体"/>
          <w:sz w:val="24"/>
          <w:u w:val="single"/>
        </w:rPr>
        <w:t xml:space="preserve"> 100 </w:t>
      </w:r>
      <w:r>
        <w:rPr>
          <w:rFonts w:hint="eastAsia" w:ascii="宋体" w:hAnsi="宋体" w:cs="宋体"/>
          <w:sz w:val="24"/>
        </w:rPr>
        <w:t xml:space="preserve">%。</w:t>
      </w:r>
      <w:r>
        <w:rPr>
          <w:rFonts w:hint="eastAsia" w:ascii="宋体" w:hAnsi="宋体" w:cs="宋体"/>
          <w:sz w:val="24"/>
        </w:rPr>
      </w:r>
      <w:r/>
    </w:p>
    <w:p>
      <w:pPr>
        <w:pStyle w:val="1168"/>
        <w:contextualSpacing/>
        <w:ind w:firstLine="482"/>
        <w:jc w:val="left"/>
        <w:spacing w:line="360" w:lineRule="auto"/>
        <w:rPr>
          <w:rFonts w:hint="eastAsia" w:ascii="宋体" w:hAnsi="宋体" w:cs="宋体"/>
          <w:sz w:val="24"/>
        </w:rPr>
      </w:pPr>
      <w:r>
        <w:rPr>
          <w:rFonts w:hint="eastAsia" w:ascii="宋体" w:hAnsi="宋体" w:cs="宋体"/>
          <w:b/>
          <w:bCs/>
          <w:sz w:val="24"/>
        </w:rPr>
        <w:t xml:space="preserve">情况说明：</w:t>
      </w:r>
      <w:r>
        <w:rPr>
          <w:rFonts w:hint="eastAsia" w:ascii="宋体" w:hAnsi="宋体" w:cs="宋体"/>
          <w:sz w:val="24"/>
        </w:rPr>
        <w:t xml:space="preserve">无。</w:t>
      </w:r>
      <w:r>
        <w:rPr>
          <w:rFonts w:hint="eastAsia" w:ascii="宋体" w:hAnsi="宋体" w:cs="宋体"/>
          <w:sz w:val="24"/>
        </w:rPr>
      </w:r>
      <w:r/>
    </w:p>
    <w:p>
      <w:pPr>
        <w:pStyle w:val="1168"/>
        <w:numPr>
          <w:ilvl w:val="0"/>
          <w:numId w:val="0"/>
        </w:numPr>
        <w:contextualSpacing/>
        <w:ind w:left="-62" w:firstLine="482"/>
        <w:jc w:val="left"/>
        <w:spacing w:line="360" w:lineRule="auto"/>
        <w:rPr>
          <w:rFonts w:hint="eastAsia" w:ascii="Times New Roman" w:hAnsi="Times New Roman"/>
          <w:b/>
          <w:bCs/>
          <w:sz w:val="24"/>
          <w:szCs w:val="24"/>
        </w:rPr>
      </w:pPr>
      <w:r>
        <w:rPr>
          <w:rFonts w:hint="eastAsia" w:ascii="Times New Roman" w:hAnsi="Times New Roman"/>
          <w:b/>
          <w:bCs/>
          <w:sz w:val="24"/>
          <w:szCs w:val="24"/>
          <w:lang w:val="en-US" w:eastAsia="zh-CN" w:bidi="ar-SA"/>
        </w:rPr>
        <w:t xml:space="preserve">2.</w:t>
      </w:r>
      <w:r>
        <w:rPr>
          <w:rFonts w:hint="eastAsia" w:ascii="Times New Roman" w:hAnsi="Times New Roman"/>
          <w:b/>
          <w:bCs/>
          <w:sz w:val="24"/>
          <w:szCs w:val="24"/>
        </w:rPr>
        <w:t xml:space="preserve">招标清单：</w:t>
      </w:r>
      <w:r>
        <w:rPr>
          <w:rFonts w:hint="eastAsia" w:ascii="Times New Roman" w:hAnsi="Times New Roman"/>
          <w:b/>
          <w:bCs/>
          <w:sz w:val="24"/>
          <w:szCs w:val="24"/>
        </w:rPr>
      </w:r>
      <w:r/>
    </w:p>
    <w:p>
      <w:pPr>
        <w:pStyle w:val="1070"/>
        <w:ind w:firstLine="482"/>
        <w:spacing w:line="360" w:lineRule="auto"/>
        <w:tabs>
          <w:tab w:val="left" w:pos="1080" w:leader="none"/>
        </w:tabs>
        <w:rPr>
          <w:rFonts w:hint="eastAsia"/>
          <w:b/>
          <w:bCs/>
          <w:sz w:val="24"/>
        </w:rPr>
      </w:pPr>
      <w:r>
        <w:rPr>
          <w:rFonts w:hint="eastAsia"/>
          <w:b/>
          <w:bCs/>
          <w:sz w:val="24"/>
        </w:rPr>
        <w:t xml:space="preserve">项目最高限价（控制价）：</w:t>
      </w:r>
      <w:r>
        <w:rPr>
          <w:rFonts w:hint="eastAsia"/>
          <w:b/>
          <w:bCs/>
          <w:sz w:val="24"/>
          <w:lang w:val="en-US" w:eastAsia="zh-CN"/>
        </w:rPr>
        <w:t xml:space="preserve">1</w:t>
      </w:r>
      <w:r>
        <w:rPr>
          <w:rFonts w:hint="eastAsia"/>
          <w:b/>
          <w:bCs/>
          <w:sz w:val="24"/>
          <w:lang w:val="en-US" w:eastAsia="zh-CN"/>
        </w:rPr>
        <w:t xml:space="preserve">11.78</w:t>
      </w:r>
      <w:r>
        <w:rPr>
          <w:rFonts w:hint="eastAsia"/>
          <w:b/>
          <w:bCs/>
          <w:sz w:val="24"/>
        </w:rPr>
        <w:t xml:space="preserve">万元，报价不得超过控制价，否则作无效响应处理。</w:t>
      </w:r>
      <w:r>
        <w:rPr>
          <w:rFonts w:hint="eastAsia"/>
          <w:b/>
          <w:bCs/>
          <w:sz w:val="24"/>
        </w:rPr>
      </w:r>
      <w:r/>
    </w:p>
    <w:p>
      <w:pPr>
        <w:pStyle w:val="1168"/>
        <w:numPr>
          <w:ilvl w:val="0"/>
          <w:numId w:val="0"/>
        </w:numPr>
        <w:contextualSpacing/>
        <w:ind w:left="-62" w:firstLine="482"/>
        <w:jc w:val="left"/>
        <w:spacing w:line="360" w:lineRule="auto"/>
        <w:rPr>
          <w:rFonts w:hint="eastAsia"/>
          <w:b/>
          <w:bCs/>
          <w:sz w:val="24"/>
          <w:highlight w:val="yellow"/>
        </w:rPr>
      </w:pPr>
      <w:r>
        <w:rPr>
          <w:rFonts w:hint="eastAsia" w:ascii="Calibri" w:hAnsi="Calibri"/>
          <w:b/>
          <w:bCs/>
          <w:sz w:val="24"/>
          <w:szCs w:val="22"/>
          <w:lang w:val="en-US" w:eastAsia="zh-CN" w:bidi="ar-SA"/>
        </w:rPr>
        <w:t xml:space="preserve">3.</w:t>
      </w:r>
      <w:r>
        <w:rPr>
          <w:rFonts w:hint="eastAsia"/>
          <w:b/>
          <w:bCs/>
          <w:sz w:val="24"/>
        </w:rPr>
        <w:t xml:space="preserve">服</w:t>
      </w:r>
      <w:r>
        <w:rPr>
          <w:rFonts w:hint="eastAsia"/>
          <w:b/>
          <w:bCs/>
          <w:sz w:val="24"/>
          <w:highlight w:val="none"/>
        </w:rPr>
        <w:t xml:space="preserve">务内容</w:t>
      </w:r>
      <w:r>
        <w:rPr>
          <w:rFonts w:hint="eastAsia"/>
          <w:b/>
          <w:bCs/>
          <w:sz w:val="24"/>
          <w:highlight w:val="yellow"/>
        </w:rPr>
      </w:r>
      <w:r/>
    </w:p>
    <w:p>
      <w:pPr>
        <w:pStyle w:val="1070"/>
        <w:ind w:left="480" w:firstLine="0"/>
        <w:jc w:val="both"/>
        <w:spacing w:line="360" w:lineRule="auto"/>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（1）岗位人员、车辆最低配置要求</w:t>
      </w:r>
      <w:r>
        <w:rPr>
          <w:rFonts w:hint="eastAsia" w:ascii="宋体" w:hAnsi="宋体" w:eastAsia="宋体" w:cs="Times New Roman"/>
          <w:b/>
          <w:bCs/>
          <w:color w:val="000000"/>
          <w:sz w:val="24"/>
          <w:szCs w:val="22"/>
          <w:highlight w:val="none"/>
          <w:lang w:val="en-US" w:eastAsia="zh-CN" w:bidi="ar-SA"/>
        </w:rPr>
      </w:r>
      <w:r/>
    </w:p>
    <w:tbl>
      <w:tblPr>
        <w:tblW w:w="4898" w:type="pct"/>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4107"/>
        <w:gridCol w:w="2267"/>
        <w:gridCol w:w="2469"/>
      </w:tblGrid>
      <w:tr>
        <w:trPr>
          <w:trHeight w:val="674"/>
        </w:trPr>
        <w:tc>
          <w:tcPr>
            <w:tcW w:w="419" w:type="dxa"/>
            <w:vAlign w:val="center"/>
            <w:textDirection w:val="lrTb"/>
            <w:noWrap w:val="false"/>
          </w:tcPr>
          <w:p>
            <w:pPr>
              <w:pStyle w:val="1070"/>
              <w:jc w:val="center"/>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color w:val="000000"/>
                <w:sz w:val="24"/>
                <w:highlight w:val="none"/>
              </w:rPr>
            </w:r>
            <w:r/>
          </w:p>
        </w:tc>
        <w:tc>
          <w:tcPr>
            <w:tcW w:w="2127" w:type="dxa"/>
            <w:vAlign w:val="center"/>
            <w:textDirection w:val="lrTb"/>
            <w:noWrap w:val="false"/>
          </w:tcPr>
          <w:p>
            <w:pPr>
              <w:pStyle w:val="1070"/>
              <w:jc w:val="center"/>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人员、车辆配备</w:t>
            </w:r>
            <w:r>
              <w:rPr>
                <w:rFonts w:hint="eastAsia" w:ascii="宋体" w:hAnsi="宋体" w:eastAsia="宋体" w:cs="宋体"/>
                <w:color w:val="000000"/>
                <w:sz w:val="24"/>
                <w:highlight w:val="none"/>
              </w:rPr>
            </w:r>
            <w:r/>
          </w:p>
        </w:tc>
        <w:tc>
          <w:tcPr>
            <w:tcW w:w="1174" w:type="dxa"/>
            <w:vAlign w:val="center"/>
            <w:textDirection w:val="lrTb"/>
            <w:noWrap w:val="false"/>
          </w:tcPr>
          <w:p>
            <w:pPr>
              <w:pStyle w:val="1070"/>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b/>
                <w:color w:val="000000"/>
                <w:sz w:val="24"/>
                <w:highlight w:val="none"/>
                <w:lang w:val="en-US" w:eastAsia="zh-CN"/>
              </w:rPr>
              <w:t xml:space="preserve">数量（人/辆）</w:t>
            </w:r>
            <w:r>
              <w:rPr>
                <w:rFonts w:hint="eastAsia" w:ascii="宋体" w:hAnsi="宋体" w:eastAsia="宋体" w:cs="宋体"/>
                <w:color w:val="000000"/>
                <w:sz w:val="24"/>
                <w:highlight w:val="none"/>
                <w:lang w:eastAsia="zh-CN"/>
              </w:rPr>
            </w:r>
            <w:r/>
          </w:p>
        </w:tc>
        <w:tc>
          <w:tcPr>
            <w:tcW w:w="1279" w:type="dxa"/>
            <w:vAlign w:val="center"/>
            <w:textDirection w:val="lrTb"/>
            <w:noWrap w:val="false"/>
          </w:tcPr>
          <w:p>
            <w:pPr>
              <w:pStyle w:val="1070"/>
              <w:jc w:val="center"/>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备注</w:t>
            </w:r>
            <w:r>
              <w:rPr>
                <w:rFonts w:hint="eastAsia" w:ascii="宋体" w:hAnsi="宋体" w:eastAsia="宋体" w:cs="宋体"/>
                <w:color w:val="000000"/>
                <w:sz w:val="24"/>
                <w:highlight w:val="none"/>
              </w:rPr>
            </w:r>
            <w:r/>
          </w:p>
        </w:tc>
      </w:tr>
      <w:tr>
        <w:trPr>
          <w:trHeight w:val="490"/>
        </w:trPr>
        <w:tc>
          <w:tcPr>
            <w:tcW w:w="419"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eastAsia="宋体" w:cs="宋体"/>
                <w:color w:val="000000"/>
                <w:sz w:val="24"/>
                <w:highlight w:val="none"/>
              </w:rPr>
            </w:r>
            <w:r/>
          </w:p>
        </w:tc>
        <w:tc>
          <w:tcPr>
            <w:tcW w:w="2127"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rPr>
              <w:suppressLineNumbers w:val="0"/>
            </w:pPr>
            <w:r>
              <w:rPr>
                <w:rFonts w:hint="eastAsia" w:ascii="宋体" w:hAnsi="宋体" w:eastAsia="宋体" w:cs="宋体"/>
                <w:i w:val="0"/>
                <w:iCs w:val="0"/>
                <w:color w:val="000000"/>
                <w:sz w:val="28"/>
                <w:szCs w:val="28"/>
                <w:u w:val="none"/>
                <w:lang w:val="en-US" w:eastAsia="zh-CN" w:bidi="ar"/>
              </w:rPr>
              <w:t xml:space="preserve">负责人</w:t>
            </w:r>
            <w:r>
              <w:rPr>
                <w:rFonts w:hint="eastAsia" w:ascii="宋体" w:hAnsi="宋体" w:eastAsia="宋体" w:cs="宋体"/>
                <w:color w:val="000000"/>
                <w:sz w:val="24"/>
                <w:highlight w:val="none"/>
              </w:rPr>
            </w:r>
            <w:r/>
          </w:p>
        </w:tc>
        <w:tc>
          <w:tcPr>
            <w:tcW w:w="1174"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eastAsia="宋体" w:cs="宋体"/>
                <w:color w:val="000000"/>
                <w:sz w:val="24"/>
                <w:highlight w:val="none"/>
              </w:rPr>
            </w:r>
            <w:r/>
          </w:p>
        </w:tc>
        <w:tc>
          <w:tcPr>
            <w:tcW w:w="1279"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23"/>
        </w:trPr>
        <w:tc>
          <w:tcPr>
            <w:tcW w:w="419"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eastAsia="宋体" w:cs="宋体"/>
                <w:color w:val="000000"/>
                <w:sz w:val="24"/>
                <w:highlight w:val="none"/>
              </w:rPr>
            </w:r>
            <w:r/>
          </w:p>
        </w:tc>
        <w:tc>
          <w:tcPr>
            <w:tcW w:w="2127"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rPr>
              <w:suppressLineNumbers w:val="0"/>
            </w:pPr>
            <w:r>
              <w:rPr>
                <w:rFonts w:hint="eastAsia" w:ascii="宋体" w:hAnsi="宋体" w:eastAsia="宋体" w:cs="宋体"/>
                <w:i w:val="0"/>
                <w:iCs w:val="0"/>
                <w:color w:val="000000"/>
                <w:sz w:val="28"/>
                <w:szCs w:val="28"/>
                <w:u w:val="none"/>
                <w:lang w:val="en-US" w:eastAsia="zh-CN" w:bidi="ar"/>
              </w:rPr>
              <w:t xml:space="preserve">驾驶员</w:t>
            </w:r>
            <w:r>
              <w:rPr>
                <w:rFonts w:hint="eastAsia" w:ascii="宋体" w:hAnsi="宋体" w:eastAsia="宋体" w:cs="宋体"/>
                <w:color w:val="000000"/>
                <w:sz w:val="24"/>
                <w:highlight w:val="none"/>
              </w:rPr>
            </w:r>
            <w:r/>
          </w:p>
        </w:tc>
        <w:tc>
          <w:tcPr>
            <w:tcW w:w="1174"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lang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rPr>
                <w:rFonts w:hint="eastAsia" w:ascii="宋体" w:hAnsi="宋体" w:eastAsia="宋体" w:cs="宋体"/>
                <w:color w:val="000000"/>
                <w:sz w:val="24"/>
                <w:highlight w:val="none"/>
                <w:lang w:eastAsia="zh-CN"/>
              </w:rPr>
            </w:r>
            <w:r/>
          </w:p>
        </w:tc>
        <w:tc>
          <w:tcPr>
            <w:tcW w:w="1279"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170"/>
        </w:trPr>
        <w:tc>
          <w:tcPr>
            <w:tcW w:w="419"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rPr>
              <w:suppressLineNumbers w:val="0"/>
            </w:pPr>
            <w:r>
              <w:rPr>
                <w:rFonts w:hint="eastAsia" w:ascii="宋体" w:hAnsi="宋体" w:eastAsia="宋体" w:cs="宋体"/>
                <w:i w:val="0"/>
                <w:iCs w:val="0"/>
                <w:color w:val="000000"/>
                <w:sz w:val="28"/>
                <w:szCs w:val="28"/>
                <w:u w:val="none"/>
                <w:lang w:val="en-US" w:eastAsia="zh-CN" w:bidi="ar"/>
              </w:rPr>
              <w:t xml:space="preserve">3</w:t>
            </w:r>
            <w:r>
              <w:rPr>
                <w:rFonts w:hint="eastAsia" w:ascii="宋体" w:hAnsi="宋体" w:eastAsia="宋体" w:cs="宋体"/>
                <w:color w:val="000000"/>
                <w:sz w:val="24"/>
                <w:highlight w:val="none"/>
              </w:rPr>
            </w:r>
            <w:r/>
          </w:p>
        </w:tc>
        <w:tc>
          <w:tcPr>
            <w:tcW w:w="2127"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rPr>
              <w:suppressLineNumbers w:val="0"/>
            </w:pPr>
            <w:r>
              <w:rPr>
                <w:rFonts w:hint="eastAsia" w:ascii="宋体" w:hAnsi="宋体" w:eastAsia="宋体" w:cs="宋体"/>
                <w:i w:val="0"/>
                <w:iCs w:val="0"/>
                <w:color w:val="000000"/>
                <w:sz w:val="28"/>
                <w:szCs w:val="28"/>
                <w:u w:val="none"/>
                <w:lang w:val="en-US" w:eastAsia="zh-CN" w:bidi="ar"/>
              </w:rPr>
              <w:t xml:space="preserve">生活垃圾平台操作员</w:t>
            </w:r>
            <w:r>
              <w:rPr>
                <w:rFonts w:hint="eastAsia" w:ascii="宋体" w:hAnsi="宋体" w:eastAsia="宋体" w:cs="宋体"/>
                <w:color w:val="000000"/>
                <w:sz w:val="24"/>
                <w:highlight w:val="none"/>
              </w:rPr>
            </w:r>
            <w:r/>
          </w:p>
        </w:tc>
        <w:tc>
          <w:tcPr>
            <w:tcW w:w="1174"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lang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rPr>
                <w:rFonts w:hint="eastAsia" w:ascii="宋体" w:hAnsi="宋体" w:eastAsia="宋体" w:cs="宋体"/>
                <w:color w:val="000000"/>
                <w:sz w:val="24"/>
                <w:highlight w:val="none"/>
                <w:lang w:eastAsia="zh-CN"/>
              </w:rPr>
            </w:r>
            <w:r/>
          </w:p>
        </w:tc>
        <w:tc>
          <w:tcPr>
            <w:tcW w:w="1279" w:type="dxa"/>
            <w:vAlign w:val="center"/>
            <w:textDirection w:val="lrTb"/>
            <w:noWrap w:val="false"/>
          </w:tcPr>
          <w:p>
            <w:pPr>
              <w:pStyle w:val="1070"/>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40"/>
        </w:trPr>
        <w:tc>
          <w:tcPr>
            <w:tcW w:w="419"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rPr>
              <w:suppressLineNumbers w:val="0"/>
            </w:pPr>
            <w:r>
              <w:rPr>
                <w:rFonts w:hint="eastAsia" w:ascii="宋体" w:hAnsi="宋体" w:eastAsia="宋体" w:cs="宋体"/>
                <w:i w:val="0"/>
                <w:iCs w:val="0"/>
                <w:color w:val="000000"/>
                <w:sz w:val="28"/>
                <w:szCs w:val="28"/>
                <w:u w:val="none"/>
                <w:lang w:val="en-US" w:eastAsia="zh-CN" w:bidi="ar"/>
              </w:rPr>
              <w:t xml:space="preserve">4</w:t>
            </w:r>
            <w:r>
              <w:rPr>
                <w:rFonts w:hint="eastAsia" w:ascii="宋体" w:hAnsi="宋体" w:eastAsia="宋体" w:cs="宋体"/>
                <w:color w:val="000000"/>
                <w:sz w:val="24"/>
                <w:highlight w:val="none"/>
              </w:rPr>
            </w:r>
            <w:r/>
          </w:p>
        </w:tc>
        <w:tc>
          <w:tcPr>
            <w:tcW w:w="2127"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rPr>
              <w:suppressLineNumbers w:val="0"/>
            </w:pPr>
            <w:r>
              <w:rPr>
                <w:rFonts w:hint="eastAsia" w:ascii="宋体" w:hAnsi="宋体" w:eastAsia="宋体" w:cs="宋体"/>
                <w:i w:val="0"/>
                <w:iCs w:val="0"/>
                <w:color w:val="000000"/>
                <w:sz w:val="28"/>
                <w:szCs w:val="28"/>
                <w:u w:val="none"/>
                <w:lang w:val="en-US" w:eastAsia="zh-CN" w:bidi="ar"/>
              </w:rPr>
              <w:t xml:space="preserve">大件垃圾分拣平台</w:t>
            </w:r>
            <w:r>
              <w:rPr>
                <w:rFonts w:hint="eastAsia" w:ascii="宋体" w:hAnsi="宋体" w:eastAsia="宋体" w:cs="宋体"/>
                <w:color w:val="000000"/>
                <w:sz w:val="24"/>
                <w:highlight w:val="none"/>
              </w:rPr>
            </w:r>
            <w:r/>
          </w:p>
        </w:tc>
        <w:tc>
          <w:tcPr>
            <w:tcW w:w="1174"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lang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rPr>
                <w:rFonts w:hint="eastAsia" w:ascii="宋体" w:hAnsi="宋体" w:eastAsia="宋体" w:cs="宋体"/>
                <w:color w:val="000000"/>
                <w:sz w:val="24"/>
                <w:highlight w:val="none"/>
                <w:lang w:eastAsia="zh-CN"/>
              </w:rPr>
            </w:r>
            <w:r/>
          </w:p>
        </w:tc>
        <w:tc>
          <w:tcPr>
            <w:tcW w:w="1279"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40"/>
        </w:trPr>
        <w:tc>
          <w:tcPr>
            <w:tcW w:w="419"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rPr>
                <w:rFonts w:hint="eastAsia" w:ascii="宋体" w:hAnsi="宋体" w:eastAsia="宋体" w:cs="宋体"/>
                <w:color w:val="000000"/>
                <w:sz w:val="24"/>
                <w:highlight w:val="none"/>
                <w:lang w:val="en-US" w:eastAsia="zh-CN"/>
              </w:rPr>
            </w:r>
            <w:r/>
          </w:p>
        </w:tc>
        <w:tc>
          <w:tcPr>
            <w:tcW w:w="2127"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rPr>
              <w:suppressLineNumbers w:val="0"/>
            </w:pPr>
            <w:r>
              <w:rPr>
                <w:rFonts w:hint="eastAsia" w:ascii="宋体" w:hAnsi="宋体" w:eastAsia="宋体" w:cs="宋体"/>
                <w:i w:val="0"/>
                <w:iCs w:val="0"/>
                <w:color w:val="000000"/>
                <w:sz w:val="28"/>
                <w:szCs w:val="28"/>
                <w:u w:val="none"/>
                <w:lang w:val="en-US" w:eastAsia="zh-CN" w:bidi="ar"/>
              </w:rPr>
              <w:t xml:space="preserve">易腐垃圾</w:t>
            </w:r>
            <w:r>
              <w:rPr>
                <w:rFonts w:hint="eastAsia" w:ascii="宋体" w:hAnsi="宋体" w:eastAsia="宋体" w:cs="宋体"/>
                <w:color w:val="000000"/>
                <w:sz w:val="24"/>
                <w:highlight w:val="none"/>
              </w:rPr>
            </w:r>
            <w:r/>
          </w:p>
        </w:tc>
        <w:tc>
          <w:tcPr>
            <w:tcW w:w="1174"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rPr>
                <w:rFonts w:hint="eastAsia" w:ascii="宋体" w:hAnsi="宋体" w:eastAsia="宋体" w:cs="宋体"/>
                <w:color w:val="000000"/>
                <w:sz w:val="24"/>
                <w:highlight w:val="none"/>
                <w:lang w:val="en-US" w:eastAsia="zh-CN"/>
              </w:rPr>
            </w:r>
            <w:r/>
          </w:p>
        </w:tc>
        <w:tc>
          <w:tcPr>
            <w:tcW w:w="1279"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40"/>
        </w:trPr>
        <w:tc>
          <w:tcPr>
            <w:tcW w:w="419"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rPr>
                <w:rFonts w:hint="eastAsia" w:ascii="宋体" w:hAnsi="宋体" w:eastAsia="宋体" w:cs="宋体"/>
                <w:color w:val="000000"/>
                <w:sz w:val="24"/>
                <w:highlight w:val="none"/>
                <w:lang w:val="en-US" w:eastAsia="zh-CN"/>
              </w:rPr>
            </w:r>
            <w:r/>
          </w:p>
        </w:tc>
        <w:tc>
          <w:tcPr>
            <w:tcW w:w="2127" w:type="dxa"/>
            <w:vAlign w:val="center"/>
            <w:textDirection w:val="lrTb"/>
            <w:noWrap w:val="false"/>
          </w:tcPr>
          <w:p>
            <w:pPr>
              <w:pStyle w:val="1070"/>
              <w:jc w:val="center"/>
              <w:keepLines w:val="0"/>
              <w:keepNext w:val="0"/>
              <w:widowControl/>
              <w:rPr>
                <w:rFonts w:hint="eastAsia" w:ascii="Calibri" w:hAnsi="Calibri" w:eastAsia="宋体" w:cs="Times New Roman"/>
                <w:sz w:val="24"/>
                <w:highlight w:val="none"/>
              </w:rPr>
              <w:suppressLineNumbers w:val="0"/>
            </w:pPr>
            <w:r>
              <w:rPr>
                <w:rFonts w:hint="eastAsia" w:ascii="宋体" w:hAnsi="宋体" w:eastAsia="宋体" w:cs="宋体"/>
                <w:i w:val="0"/>
                <w:iCs w:val="0"/>
                <w:color w:val="000000"/>
                <w:sz w:val="28"/>
                <w:szCs w:val="28"/>
                <w:u w:val="none"/>
                <w:lang w:val="en-US" w:eastAsia="zh-CN" w:bidi="ar"/>
              </w:rPr>
              <w:t xml:space="preserve">门卫</w:t>
            </w:r>
            <w:r>
              <w:rPr>
                <w:rFonts w:hint="eastAsia" w:ascii="Calibri" w:hAnsi="Calibri" w:eastAsia="宋体" w:cs="Times New Roman"/>
                <w:sz w:val="24"/>
                <w:highlight w:val="none"/>
              </w:rPr>
            </w:r>
            <w:r/>
          </w:p>
        </w:tc>
        <w:tc>
          <w:tcPr>
            <w:tcW w:w="1174"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eastAsia="宋体" w:cs="宋体"/>
                <w:color w:val="000000"/>
                <w:sz w:val="24"/>
                <w:highlight w:val="none"/>
                <w:lang w:val="en-US" w:eastAsia="zh-CN"/>
              </w:rPr>
            </w:r>
            <w:r/>
          </w:p>
        </w:tc>
        <w:tc>
          <w:tcPr>
            <w:tcW w:w="1279" w:type="dxa"/>
            <w:vAlign w:val="center"/>
            <w:textDirection w:val="lrTb"/>
            <w:noWrap w:val="false"/>
          </w:tcPr>
          <w:p>
            <w:pPr>
              <w:pStyle w:val="1070"/>
              <w:jc w:val="center"/>
              <w:rPr>
                <w:rFonts w:hint="eastAsia"/>
                <w:sz w:val="24"/>
                <w:highlight w:val="none"/>
              </w:rPr>
            </w:pPr>
            <w:r>
              <w:rPr>
                <w:rFonts w:hint="eastAsia"/>
                <w:sz w:val="24"/>
                <w:highlight w:val="none"/>
              </w:rPr>
            </w:r>
            <w:r/>
          </w:p>
        </w:tc>
      </w:tr>
      <w:tr>
        <w:trPr>
          <w:trHeight w:val="640"/>
        </w:trPr>
        <w:tc>
          <w:tcPr>
            <w:tcW w:w="419"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w:t>
            </w:r>
            <w:r>
              <w:rPr>
                <w:rFonts w:hint="eastAsia" w:ascii="宋体" w:hAnsi="宋体" w:eastAsia="宋体" w:cs="宋体"/>
                <w:color w:val="000000"/>
                <w:sz w:val="24"/>
                <w:highlight w:val="none"/>
                <w:lang w:val="en-US" w:eastAsia="zh-CN"/>
              </w:rPr>
            </w:r>
            <w:r/>
          </w:p>
        </w:tc>
        <w:tc>
          <w:tcPr>
            <w:tcW w:w="2127" w:type="dxa"/>
            <w:vAlign w:val="center"/>
            <w:textDirection w:val="lrTb"/>
            <w:noWrap w:val="false"/>
          </w:tcPr>
          <w:p>
            <w:pPr>
              <w:pStyle w:val="1070"/>
              <w:jc w:val="center"/>
              <w:keepLines w:val="0"/>
              <w:keepNext w:val="0"/>
              <w:widowControl/>
              <w:rPr>
                <w:rFonts w:hint="eastAsia" w:ascii="Calibri" w:hAnsi="Calibri" w:eastAsia="宋体" w:cs="Times New Roman"/>
                <w:sz w:val="24"/>
                <w:highlight w:val="none"/>
              </w:rPr>
              <w:suppressLineNumbers w:val="0"/>
            </w:pPr>
            <w:r>
              <w:rPr>
                <w:rFonts w:hint="eastAsia" w:ascii="宋体" w:hAnsi="宋体" w:eastAsia="宋体" w:cs="宋体"/>
                <w:i w:val="0"/>
                <w:iCs w:val="0"/>
                <w:color w:val="000000"/>
                <w:sz w:val="28"/>
                <w:szCs w:val="28"/>
                <w:u w:val="none"/>
                <w:lang w:val="en-US" w:eastAsia="zh-CN" w:bidi="ar"/>
              </w:rPr>
              <w:t xml:space="preserve">垃圾转运车</w:t>
            </w:r>
            <w:r>
              <w:rPr>
                <w:rFonts w:hint="eastAsia" w:ascii="Calibri" w:hAnsi="Calibri" w:eastAsia="宋体" w:cs="Times New Roman"/>
                <w:sz w:val="24"/>
                <w:highlight w:val="none"/>
              </w:rPr>
            </w:r>
            <w:r/>
          </w:p>
        </w:tc>
        <w:tc>
          <w:tcPr>
            <w:tcW w:w="1174"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eastAsia="宋体" w:cs="宋体"/>
                <w:color w:val="000000"/>
                <w:sz w:val="24"/>
                <w:highlight w:val="none"/>
                <w:lang w:val="en-US" w:eastAsia="zh-CN"/>
              </w:rPr>
            </w:r>
            <w:r/>
          </w:p>
        </w:tc>
        <w:tc>
          <w:tcPr>
            <w:tcW w:w="1279" w:type="dxa"/>
            <w:vAlign w:val="center"/>
            <w:textDirection w:val="lrTb"/>
            <w:noWrap w:val="false"/>
          </w:tcPr>
          <w:p>
            <w:pPr>
              <w:pStyle w:val="1070"/>
              <w:jc w:val="center"/>
              <w:rPr>
                <w:rFonts w:eastAsia="宋体"/>
                <w:sz w:val="24"/>
                <w:highlight w:val="none"/>
                <w:lang w:val="en-US" w:eastAsia="zh-CN"/>
              </w:rPr>
            </w:pPr>
            <w:r>
              <w:rPr>
                <w:rFonts w:hint="eastAsia"/>
                <w:sz w:val="24"/>
                <w:highlight w:val="none"/>
                <w:lang w:val="en-US" w:eastAsia="zh-CN"/>
              </w:rPr>
              <w:t xml:space="preserve">车辆总质量≥20吨</w:t>
            </w:r>
            <w:r>
              <w:rPr>
                <w:rFonts w:eastAsia="宋体"/>
                <w:sz w:val="24"/>
                <w:highlight w:val="none"/>
                <w:lang w:val="en-US" w:eastAsia="zh-CN"/>
              </w:rPr>
            </w:r>
            <w:r/>
          </w:p>
        </w:tc>
      </w:tr>
      <w:tr>
        <w:trPr>
          <w:trHeight w:val="640"/>
        </w:trPr>
        <w:tc>
          <w:tcPr>
            <w:tcW w:w="419"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rPr>
                <w:rFonts w:hint="eastAsia" w:ascii="宋体" w:hAnsi="宋体" w:eastAsia="宋体" w:cs="宋体"/>
                <w:color w:val="000000"/>
                <w:sz w:val="24"/>
                <w:highlight w:val="none"/>
                <w:lang w:val="en-US" w:eastAsia="zh-CN"/>
              </w:rPr>
            </w:r>
            <w:r/>
          </w:p>
        </w:tc>
        <w:tc>
          <w:tcPr>
            <w:tcW w:w="2127" w:type="dxa"/>
            <w:vAlign w:val="center"/>
            <w:textDirection w:val="lrTb"/>
            <w:noWrap w:val="false"/>
          </w:tcPr>
          <w:p>
            <w:pPr>
              <w:pStyle w:val="1070"/>
              <w:jc w:val="center"/>
              <w:keepLines w:val="0"/>
              <w:keepNext w:val="0"/>
              <w:widowControl/>
              <w:rPr>
                <w:rFonts w:hint="eastAsia" w:ascii="Calibri" w:hAnsi="Calibri" w:eastAsia="宋体" w:cs="Times New Roman"/>
                <w:sz w:val="24"/>
                <w:highlight w:val="none"/>
              </w:rPr>
              <w:suppressLineNumbers w:val="0"/>
            </w:pPr>
            <w:r>
              <w:rPr>
                <w:rFonts w:hint="eastAsia" w:ascii="宋体" w:hAnsi="宋体" w:eastAsia="宋体" w:cs="宋体"/>
                <w:i w:val="0"/>
                <w:iCs w:val="0"/>
                <w:color w:val="000000"/>
                <w:sz w:val="32"/>
                <w:szCs w:val="32"/>
                <w:u w:val="none"/>
                <w:lang w:val="en-US" w:eastAsia="zh-CN" w:bidi="ar"/>
              </w:rPr>
              <w:t xml:space="preserve">小挖机</w:t>
            </w:r>
            <w:r>
              <w:rPr>
                <w:rFonts w:hint="eastAsia" w:ascii="Calibri" w:hAnsi="Calibri" w:eastAsia="宋体" w:cs="Times New Roman"/>
                <w:sz w:val="24"/>
                <w:highlight w:val="none"/>
              </w:rPr>
            </w:r>
            <w:r/>
          </w:p>
        </w:tc>
        <w:tc>
          <w:tcPr>
            <w:tcW w:w="1174" w:type="dxa"/>
            <w:vAlign w:val="center"/>
            <w:textDirection w:val="lrTb"/>
            <w:noWrap w:val="false"/>
          </w:tcPr>
          <w:p>
            <w:pPr>
              <w:pStyle w:val="1070"/>
              <w:jc w:val="center"/>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i w:val="0"/>
                <w:iCs w:val="0"/>
                <w:color w:val="000000"/>
                <w:sz w:val="32"/>
                <w:szCs w:val="32"/>
                <w:u w:val="none"/>
                <w:lang w:val="en-US" w:eastAsia="zh-CN" w:bidi="ar"/>
              </w:rPr>
              <w:t xml:space="preserve">1</w:t>
            </w:r>
            <w:r>
              <w:rPr>
                <w:rFonts w:hint="eastAsia" w:ascii="宋体" w:hAnsi="宋体" w:eastAsia="宋体" w:cs="宋体"/>
                <w:color w:val="000000"/>
                <w:sz w:val="24"/>
                <w:highlight w:val="none"/>
                <w:lang w:val="en-US" w:eastAsia="zh-CN"/>
              </w:rPr>
            </w:r>
            <w:r/>
          </w:p>
        </w:tc>
        <w:tc>
          <w:tcPr>
            <w:tcW w:w="1279" w:type="dxa"/>
            <w:vAlign w:val="center"/>
            <w:textDirection w:val="lrTb"/>
            <w:noWrap w:val="false"/>
          </w:tcPr>
          <w:p>
            <w:pPr>
              <w:pStyle w:val="1070"/>
              <w:jc w:val="center"/>
              <w:rPr>
                <w:rFonts w:hint="eastAsia"/>
                <w:sz w:val="24"/>
                <w:highlight w:val="none"/>
              </w:rPr>
            </w:pPr>
            <w:r>
              <w:rPr>
                <w:rFonts w:hint="eastAsia"/>
                <w:sz w:val="24"/>
                <w:highlight w:val="none"/>
              </w:rPr>
            </w:r>
            <w:r/>
          </w:p>
        </w:tc>
      </w:tr>
    </w:tbl>
    <w:p>
      <w:pPr>
        <w:pStyle w:val="1070"/>
        <w:ind w:firstLine="482"/>
        <w:spacing w:line="360" w:lineRule="auto"/>
        <w:rPr>
          <w:rFonts w:ascii="宋体" w:hAnsi="宋体" w:eastAsia="宋体" w:cs="宋体"/>
          <w:b/>
          <w:bCs/>
          <w:sz w:val="24"/>
          <w:lang w:val="en-US" w:eastAsia="zh-CN"/>
        </w:rPr>
      </w:pPr>
      <w:r>
        <w:rPr>
          <w:rFonts w:ascii="宋体" w:hAnsi="宋体" w:eastAsia="宋体" w:cs="宋体"/>
          <w:b/>
          <w:bCs/>
          <w:sz w:val="24"/>
          <w:lang w:val="en-US" w:eastAsia="zh-CN"/>
        </w:rPr>
        <w:t xml:space="preserve">本项目运营费用</w:t>
      </w:r>
      <w:r>
        <w:rPr>
          <w:rFonts w:hint="eastAsia" w:ascii="宋体" w:hAnsi="宋体" w:eastAsia="宋体" w:cs="Times New Roman"/>
          <w:b/>
          <w:bCs/>
          <w:color w:val="000000"/>
          <w:sz w:val="24"/>
          <w:highlight w:val="none"/>
        </w:rPr>
        <w:t xml:space="preserve">包括但不限于人工费用（基本工资（不低于溧阳市最低工资）、加班工资、高温费、社保（企业缴纳）、福利劳保、工具等费用）、车辆费用（油费、保险）、设备维修保养费用、设备折旧费用</w:t>
      </w:r>
      <w:r>
        <w:rPr>
          <w:rFonts w:hint="eastAsia" w:ascii="宋体" w:hAnsi="宋体" w:eastAsia="宋体" w:cs="Times New Roman"/>
          <w:b/>
          <w:bCs/>
          <w:color w:val="000000"/>
          <w:sz w:val="24"/>
          <w:highlight w:val="none"/>
          <w:lang w:eastAsia="zh-CN"/>
        </w:rPr>
        <w:t xml:space="preserve">、</w:t>
      </w:r>
      <w:r>
        <w:rPr>
          <w:rFonts w:hint="eastAsia" w:ascii="宋体" w:hAnsi="宋体"/>
          <w:b/>
          <w:bCs/>
          <w:sz w:val="24"/>
        </w:rPr>
        <w:t xml:space="preserve">保险费、培训、办公设备、耗材、利润、管理费、税金及政策性文件规定等各项应有费用，以及为完成该项服务项目所涉及到的一切相关费用</w:t>
      </w:r>
      <w:r>
        <w:rPr>
          <w:rFonts w:hint="eastAsia" w:ascii="宋体" w:hAnsi="宋体"/>
          <w:b/>
          <w:bCs/>
          <w:sz w:val="24"/>
          <w:lang w:eastAsia="zh-CN"/>
        </w:rPr>
        <w:t xml:space="preserve">。</w:t>
      </w:r>
      <w:r>
        <w:rPr>
          <w:rFonts w:ascii="宋体" w:hAnsi="宋体" w:eastAsia="宋体" w:cs="宋体"/>
          <w:b/>
          <w:bCs/>
          <w:sz w:val="24"/>
          <w:lang w:val="en-US" w:eastAsia="zh-CN"/>
        </w:rPr>
      </w:r>
      <w:r/>
    </w:p>
    <w:p>
      <w:pPr>
        <w:pStyle w:val="1070"/>
        <w:ind w:firstLine="482"/>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一旦中标，中标供应商必须按要求派驻人员</w:t>
      </w:r>
      <w:r>
        <w:rPr>
          <w:rFonts w:hint="eastAsia" w:ascii="宋体" w:hAnsi="宋体" w:eastAsia="宋体" w:cs="Times New Roman"/>
          <w:b/>
          <w:bCs/>
          <w:color w:val="000000"/>
          <w:sz w:val="24"/>
          <w:highlight w:val="none"/>
          <w:lang w:val="en-US" w:eastAsia="zh-CN"/>
        </w:rPr>
        <w:t xml:space="preserve">及车辆</w:t>
      </w:r>
      <w:r>
        <w:rPr>
          <w:rFonts w:hint="eastAsia" w:ascii="宋体" w:hAnsi="宋体" w:eastAsia="宋体" w:cs="Times New Roman"/>
          <w:b/>
          <w:bCs/>
          <w:color w:val="000000"/>
          <w:sz w:val="24"/>
          <w:highlight w:val="none"/>
        </w:rPr>
        <w:t xml:space="preserve">，且不得低于最低配置要求，否则按无效投标文件处理。</w:t>
      </w:r>
      <w:r>
        <w:rPr>
          <w:rFonts w:hint="eastAsia" w:ascii="宋体" w:hAnsi="宋体" w:eastAsia="宋体" w:cs="Times New Roman"/>
          <w:b/>
          <w:bCs/>
          <w:color w:val="000000"/>
          <w:sz w:val="24"/>
          <w:highlight w:val="none"/>
        </w:rPr>
      </w:r>
      <w:r/>
    </w:p>
    <w:p>
      <w:pPr>
        <w:pStyle w:val="1070"/>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在进行劳动力测算时，投标供应商根据自身经验及现场情况等因素自行配置，但不得低于最低配置要求，投标供应商需在投标报价中充分考虑该因素，一旦中标，</w:t>
      </w:r>
      <w:r>
        <w:rPr>
          <w:rFonts w:hint="eastAsia" w:ascii="宋体" w:hAnsi="宋体" w:eastAsia="宋体" w:cs="Times New Roman"/>
          <w:b/>
          <w:bCs/>
          <w:color w:val="000000"/>
          <w:sz w:val="24"/>
          <w:highlight w:val="none"/>
        </w:rPr>
        <w:t xml:space="preserve">作业任务没有调整的情况下，投标报价不随人员配置数量增加而调整。</w:t>
      </w:r>
      <w:r>
        <w:rPr>
          <w:rFonts w:ascii="宋体" w:hAnsi="宋体" w:eastAsia="宋体" w:cs="Times New Roman"/>
          <w:color w:val="000000"/>
          <w:sz w:val="24"/>
          <w:highlight w:val="none"/>
        </w:rPr>
      </w:r>
      <w:r/>
    </w:p>
    <w:p>
      <w:pPr>
        <w:pStyle w:val="1070"/>
        <w:ind w:firstLine="482"/>
        <w:spacing w:line="360" w:lineRule="auto"/>
        <w:rPr>
          <w:rFonts w:ascii="宋体" w:hAnsi="宋体" w:eastAsia="宋体" w:cs="Times New Roman"/>
          <w:color w:val="000000"/>
          <w:sz w:val="24"/>
          <w:highlight w:val="none"/>
        </w:rPr>
      </w:pP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5</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color w:val="000000"/>
          <w:sz w:val="24"/>
          <w:highlight w:val="none"/>
        </w:rPr>
        <w:t xml:space="preserve">考核具体详见《</w:t>
      </w:r>
      <w:r>
        <w:rPr>
          <w:rFonts w:hint="eastAsia" w:ascii="宋体" w:hAnsi="宋体" w:eastAsia="宋体" w:cs="Times New Roman"/>
          <w:color w:val="000000"/>
          <w:sz w:val="24"/>
          <w:highlight w:val="none"/>
          <w:lang w:eastAsia="zh-CN"/>
        </w:rPr>
        <w:t xml:space="preserve">社渚镇环卫综合处理中心运营标准及考核评分细则</w:t>
      </w:r>
      <w:r>
        <w:rPr>
          <w:rFonts w:hint="eastAsia" w:ascii="宋体" w:hAnsi="宋体" w:eastAsia="宋体" w:cs="Times New Roman"/>
          <w:color w:val="000000"/>
          <w:sz w:val="24"/>
          <w:highlight w:val="none"/>
        </w:rPr>
        <w:t xml:space="preserve">》。</w:t>
      </w:r>
      <w:r>
        <w:rPr>
          <w:rFonts w:ascii="宋体" w:hAnsi="宋体" w:eastAsia="宋体" w:cs="Times New Roman"/>
          <w:color w:val="000000"/>
          <w:sz w:val="24"/>
          <w:highlight w:val="none"/>
        </w:rPr>
      </w:r>
      <w:r/>
    </w:p>
    <w:p>
      <w:pPr>
        <w:pStyle w:val="1070"/>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中标供应商必须做到安全运行，无事故发生。如中标供应商在履行合同过程中发生任何安全事故或交通事故等，造成人员伤亡或财产损失的，全部责任由中标供应商自行承担，与采购人无关；如由此造成采购人损失的，采购人有权</w:t>
      </w:r>
      <w:r>
        <w:rPr>
          <w:rFonts w:hint="eastAsia" w:ascii="宋体" w:hAnsi="宋体" w:eastAsia="宋体" w:cs="Times New Roman"/>
          <w:color w:val="000000"/>
          <w:sz w:val="24"/>
          <w:highlight w:val="none"/>
          <w:lang w:val="en-US" w:eastAsia="zh-CN"/>
        </w:rPr>
        <w:t xml:space="preserve">要求</w:t>
      </w:r>
      <w:r>
        <w:rPr>
          <w:rFonts w:hint="eastAsia" w:ascii="宋体" w:hAnsi="宋体" w:eastAsia="宋体" w:cs="Times New Roman"/>
          <w:color w:val="000000"/>
          <w:sz w:val="24"/>
          <w:highlight w:val="none"/>
        </w:rPr>
        <w:t xml:space="preserve">中标供应商</w:t>
      </w:r>
      <w:r>
        <w:rPr>
          <w:rFonts w:hint="eastAsia" w:ascii="宋体" w:hAnsi="宋体" w:eastAsia="宋体" w:cs="Times New Roman"/>
          <w:color w:val="000000"/>
          <w:sz w:val="24"/>
          <w:highlight w:val="none"/>
          <w:lang w:val="en-US" w:eastAsia="zh-CN"/>
        </w:rPr>
        <w:t xml:space="preserve">补偿</w:t>
      </w:r>
      <w:r>
        <w:rPr>
          <w:rFonts w:hint="eastAsia" w:ascii="宋体" w:hAnsi="宋体" w:eastAsia="宋体" w:cs="Times New Roman"/>
          <w:color w:val="000000"/>
          <w:sz w:val="24"/>
          <w:highlight w:val="none"/>
        </w:rPr>
        <w:t xml:space="preserve">相应损失部分。</w:t>
      </w:r>
      <w:r>
        <w:rPr>
          <w:rFonts w:ascii="宋体" w:hAnsi="宋体" w:eastAsia="宋体" w:cs="Times New Roman"/>
          <w:color w:val="000000"/>
          <w:sz w:val="24"/>
          <w:highlight w:val="none"/>
        </w:rPr>
      </w:r>
      <w:r/>
    </w:p>
    <w:p>
      <w:pPr>
        <w:pStyle w:val="1070"/>
        <w:ind w:firstLine="482"/>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7</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作业人员工资不得低于最新的溧阳市最低工资标准，否则按无效投标文件处理。</w:t>
      </w:r>
      <w:r>
        <w:rPr>
          <w:rFonts w:hint="eastAsia" w:ascii="宋体" w:hAnsi="宋体" w:eastAsia="宋体" w:cs="Times New Roman"/>
          <w:b/>
          <w:bCs/>
          <w:color w:val="000000"/>
          <w:sz w:val="24"/>
          <w:highlight w:val="none"/>
        </w:rPr>
      </w:r>
      <w:r/>
    </w:p>
    <w:p>
      <w:pPr>
        <w:pStyle w:val="1070"/>
        <w:ind w:firstLine="482"/>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8</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高温费为最新的溧阳地区发放标准，作业服务期内高温费如遇上级政策调整，中标供应商须按新文件执行，否则按无效投标文件处理。</w:t>
      </w:r>
      <w:r>
        <w:rPr>
          <w:rFonts w:hint="eastAsia" w:ascii="宋体" w:hAnsi="宋体" w:eastAsia="宋体" w:cs="Times New Roman"/>
          <w:b/>
          <w:bCs/>
          <w:color w:val="000000"/>
          <w:sz w:val="24"/>
          <w:highlight w:val="none"/>
        </w:rPr>
      </w:r>
      <w:r/>
    </w:p>
    <w:p>
      <w:pPr>
        <w:pStyle w:val="1070"/>
        <w:ind w:firstLine="482"/>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9</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驾驶员及项目负责人年龄均不得高于6</w:t>
      </w:r>
      <w:r>
        <w:rPr>
          <w:rFonts w:hint="eastAsia" w:ascii="宋体" w:hAnsi="宋体" w:eastAsia="宋体" w:cs="Times New Roman"/>
          <w:b/>
          <w:bCs/>
          <w:color w:val="000000"/>
          <w:sz w:val="24"/>
          <w:highlight w:val="none"/>
          <w:lang w:val="en-US" w:eastAsia="zh-CN"/>
        </w:rPr>
        <w:t xml:space="preserve">0</w:t>
      </w:r>
      <w:r>
        <w:rPr>
          <w:rFonts w:hint="eastAsia" w:ascii="宋体" w:hAnsi="宋体" w:eastAsia="宋体" w:cs="Times New Roman"/>
          <w:b/>
          <w:bCs/>
          <w:color w:val="000000"/>
          <w:sz w:val="24"/>
          <w:highlight w:val="none"/>
        </w:rPr>
        <w:t xml:space="preserve">周岁（含），其他作业人员年龄不得高于65周岁（含）。项目负责人可以兼任。</w:t>
      </w:r>
      <w:r>
        <w:rPr>
          <w:rFonts w:hint="eastAsia" w:ascii="宋体" w:hAnsi="宋体" w:eastAsia="宋体" w:cs="Times New Roman"/>
          <w:b/>
          <w:bCs/>
          <w:color w:val="000000"/>
          <w:sz w:val="24"/>
          <w:highlight w:val="none"/>
        </w:rPr>
      </w:r>
      <w:r/>
    </w:p>
    <w:p>
      <w:pPr>
        <w:pStyle w:val="1070"/>
        <w:ind w:firstLine="482"/>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val="en-US" w:eastAsia="zh-CN"/>
        </w:rPr>
        <w:t xml:space="preserve">（10）</w:t>
      </w:r>
      <w:r>
        <w:rPr>
          <w:rFonts w:hint="eastAsia" w:ascii="宋体" w:hAnsi="宋体" w:eastAsia="宋体" w:cs="Times New Roman"/>
          <w:b/>
          <w:bCs/>
          <w:color w:val="000000"/>
          <w:sz w:val="24"/>
          <w:highlight w:val="none"/>
        </w:rPr>
        <w:t xml:space="preserve">报价时，投标单位须充分考虑人员加班费、意外保险、社保、相关补贴</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车辆油费、维修保养</w:t>
      </w:r>
      <w:r>
        <w:rPr>
          <w:rFonts w:hint="eastAsia" w:ascii="宋体" w:hAnsi="宋体" w:eastAsia="宋体" w:cs="Times New Roman"/>
          <w:b/>
          <w:bCs/>
          <w:color w:val="000000"/>
          <w:sz w:val="24"/>
          <w:highlight w:val="none"/>
        </w:rPr>
        <w:t xml:space="preserve">等费用，并在投标报价中列明，否则按无效投标文件处理。</w:t>
      </w:r>
      <w:r>
        <w:rPr>
          <w:rFonts w:hint="eastAsia" w:ascii="宋体" w:hAnsi="宋体" w:eastAsia="宋体" w:cs="Times New Roman"/>
          <w:b/>
          <w:bCs/>
          <w:color w:val="000000"/>
          <w:sz w:val="24"/>
          <w:highlight w:val="none"/>
        </w:rPr>
      </w:r>
      <w:r/>
    </w:p>
    <w:p>
      <w:pPr>
        <w:pStyle w:val="1070"/>
        <w:ind w:firstLine="482"/>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11</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投标供应商须按采购文件附件格式出具一份承诺书（见</w:t>
      </w:r>
      <w:r>
        <w:rPr>
          <w:rFonts w:hint="eastAsia" w:ascii="宋体" w:hAnsi="宋体" w:eastAsia="宋体" w:cs="Times New Roman"/>
          <w:b/>
          <w:bCs/>
          <w:color w:val="000000"/>
          <w:sz w:val="24"/>
          <w:highlight w:val="none"/>
          <w:lang w:val="en-US" w:eastAsia="zh-CN"/>
        </w:rPr>
        <w:t xml:space="preserve">投标文件格式</w:t>
      </w:r>
      <w:r>
        <w:rPr>
          <w:rFonts w:hint="eastAsia" w:ascii="宋体" w:hAnsi="宋体" w:eastAsia="宋体" w:cs="Times New Roman"/>
          <w:b/>
          <w:bCs/>
          <w:color w:val="000000"/>
          <w:sz w:val="24"/>
          <w:highlight w:val="none"/>
        </w:rPr>
        <w:t xml:space="preserve">），否则将按无效投标文件处理。</w:t>
      </w:r>
      <w:r>
        <w:rPr>
          <w:rFonts w:hint="eastAsia" w:ascii="宋体" w:hAnsi="宋体" w:eastAsia="宋体" w:cs="Times New Roman"/>
          <w:b/>
          <w:bCs/>
          <w:color w:val="000000"/>
          <w:sz w:val="24"/>
          <w:highlight w:val="none"/>
        </w:rPr>
      </w:r>
      <w:r/>
    </w:p>
    <w:p>
      <w:pPr>
        <w:pStyle w:val="1070"/>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12</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color w:val="000000"/>
          <w:sz w:val="24"/>
          <w:highlight w:val="none"/>
        </w:rPr>
        <w:t xml:space="preserve">除采购人要求外，投标报价不作调整。因政策所涉及到的最低工资标准、</w:t>
      </w:r>
      <w:r>
        <w:rPr>
          <w:rFonts w:hint="eastAsia" w:ascii="宋体" w:hAnsi="宋体" w:eastAsia="宋体" w:cs="Times New Roman"/>
          <w:color w:val="000000"/>
          <w:sz w:val="24"/>
          <w:highlight w:val="none"/>
          <w:lang w:val="en-US" w:eastAsia="zh-CN"/>
        </w:rPr>
        <w:t xml:space="preserve">社保</w:t>
      </w:r>
      <w:r>
        <w:rPr>
          <w:rFonts w:hint="eastAsia" w:ascii="宋体" w:hAnsi="宋体" w:eastAsia="宋体" w:cs="Times New Roman"/>
          <w:color w:val="000000"/>
          <w:sz w:val="24"/>
          <w:highlight w:val="none"/>
        </w:rPr>
        <w:t xml:space="preserve">、加班工资、高温补贴的调整由中标供应商作为主要风险因素进行考量，所有费用均由中标供应商承担。</w:t>
      </w:r>
      <w:r>
        <w:rPr>
          <w:rFonts w:hint="eastAsia" w:ascii="宋体" w:hAnsi="宋体" w:eastAsia="宋体" w:cs="Times New Roman"/>
          <w:color w:val="000000"/>
          <w:sz w:val="24"/>
          <w:highlight w:val="none"/>
        </w:rPr>
      </w:r>
      <w:r/>
    </w:p>
    <w:p>
      <w:pPr>
        <w:pStyle w:val="1070"/>
        <w:jc w:val="both"/>
        <w:spacing w:line="360" w:lineRule="auto"/>
        <w:tabs>
          <w:tab w:val="left" w:pos="1080" w:leader="none"/>
        </w:tabs>
        <w:rPr>
          <w:rFonts w:hint="eastAsia" w:ascii="宋体" w:hAnsi="宋体" w:cs="宋体"/>
          <w:b/>
          <w:sz w:val="36"/>
          <w:szCs w:val="36"/>
        </w:rPr>
      </w:pPr>
      <w:r>
        <w:rPr>
          <w:rFonts w:hint="eastAsia" w:ascii="宋体" w:hAnsi="宋体" w:cs="宋体"/>
          <w:b/>
          <w:sz w:val="36"/>
          <w:szCs w:val="36"/>
        </w:rPr>
      </w:r>
      <w:r/>
    </w:p>
    <w:p>
      <w:pPr>
        <w:pStyle w:val="1070"/>
        <w:jc w:val="both"/>
        <w:spacing w:line="360" w:lineRule="auto"/>
        <w:tabs>
          <w:tab w:val="left" w:pos="1080" w:leader="none"/>
        </w:tabs>
        <w:rPr>
          <w:rFonts w:hint="eastAsia" w:ascii="宋体" w:hAnsi="宋体" w:cs="宋体"/>
          <w:b/>
          <w:sz w:val="36"/>
          <w:szCs w:val="36"/>
        </w:rPr>
      </w:pPr>
      <w:r>
        <w:rPr>
          <w:rFonts w:hint="eastAsia" w:ascii="宋体" w:hAnsi="宋体" w:cs="宋体"/>
          <w:b/>
          <w:sz w:val="36"/>
          <w:szCs w:val="36"/>
        </w:rPr>
      </w:r>
      <w:r/>
    </w:p>
    <w:p>
      <w:pPr>
        <w:pStyle w:val="1070"/>
        <w:jc w:val="both"/>
        <w:spacing w:line="360" w:lineRule="auto"/>
        <w:tabs>
          <w:tab w:val="left" w:pos="1080" w:leader="none"/>
        </w:tabs>
        <w:rPr>
          <w:rFonts w:hint="eastAsia" w:ascii="宋体" w:hAnsi="宋体" w:cs="宋体"/>
          <w:b/>
          <w:sz w:val="36"/>
          <w:szCs w:val="36"/>
        </w:rPr>
      </w:pPr>
      <w:r>
        <w:rPr>
          <w:rFonts w:hint="eastAsia" w:ascii="宋体" w:hAnsi="宋体" w:cs="宋体"/>
          <w:b/>
          <w:sz w:val="36"/>
          <w:szCs w:val="36"/>
        </w:rPr>
      </w:r>
      <w:r/>
    </w:p>
    <w:p>
      <w:pPr>
        <w:pStyle w:val="1070"/>
        <w:jc w:val="both"/>
        <w:spacing w:line="360" w:lineRule="auto"/>
        <w:tabs>
          <w:tab w:val="left" w:pos="1080" w:leader="none"/>
        </w:tabs>
        <w:rPr>
          <w:rFonts w:hint="eastAsia" w:ascii="宋体" w:hAnsi="宋体" w:cs="宋体"/>
          <w:b/>
          <w:sz w:val="36"/>
          <w:szCs w:val="36"/>
        </w:rPr>
      </w:pPr>
      <w:r>
        <w:rPr>
          <w:rFonts w:hint="eastAsia" w:ascii="宋体" w:hAnsi="宋体" w:cs="宋体"/>
          <w:b/>
          <w:sz w:val="36"/>
          <w:szCs w:val="36"/>
        </w:rPr>
      </w:r>
      <w:r/>
    </w:p>
    <w:p>
      <w:pPr>
        <w:pStyle w:val="1070"/>
        <w:jc w:val="both"/>
        <w:spacing w:line="360" w:lineRule="auto"/>
        <w:tabs>
          <w:tab w:val="left" w:pos="1080" w:leader="none"/>
        </w:tabs>
        <w:rPr>
          <w:rFonts w:hint="eastAsia" w:ascii="宋体" w:hAnsi="宋体" w:cs="宋体"/>
          <w:b/>
          <w:sz w:val="36"/>
          <w:szCs w:val="36"/>
        </w:rPr>
      </w:pPr>
      <w:r>
        <w:rPr>
          <w:rFonts w:hint="eastAsia" w:ascii="宋体" w:hAnsi="宋体" w:cs="宋体"/>
          <w:b/>
          <w:sz w:val="36"/>
          <w:szCs w:val="36"/>
        </w:rPr>
      </w:r>
      <w:r/>
    </w:p>
    <w:p>
      <w:pPr>
        <w:pStyle w:val="1070"/>
        <w:jc w:val="center"/>
        <w:spacing w:line="360" w:lineRule="auto"/>
        <w:tabs>
          <w:tab w:val="left" w:pos="1080" w:leader="none"/>
        </w:tabs>
        <w:rPr>
          <w:rFonts w:hint="eastAsia" w:ascii="宋体" w:hAnsi="宋体" w:cs="宋体"/>
          <w:b/>
          <w:sz w:val="36"/>
          <w:szCs w:val="36"/>
        </w:rPr>
      </w:pPr>
      <w:r/>
      <w:bookmarkStart w:id="540" w:name="_Toc104818929"/>
      <w:r>
        <w:rPr>
          <w:rFonts w:hint="eastAsia" w:ascii="宋体" w:hAnsi="宋体" w:cs="宋体"/>
          <w:b/>
          <w:sz w:val="36"/>
          <w:szCs w:val="36"/>
        </w:rPr>
      </w:r>
      <w:r/>
    </w:p>
    <w:p>
      <w:pPr>
        <w:pStyle w:val="1070"/>
        <w:jc w:val="center"/>
        <w:spacing w:line="360" w:lineRule="auto"/>
        <w:tabs>
          <w:tab w:val="left" w:pos="1080" w:leader="none"/>
        </w:tabs>
        <w:rPr>
          <w:rFonts w:hint="eastAsia" w:ascii="宋体" w:hAnsi="宋体" w:cs="宋体"/>
          <w:b/>
          <w:sz w:val="36"/>
          <w:szCs w:val="36"/>
        </w:rPr>
      </w:pPr>
      <w:r>
        <w:rPr>
          <w:rFonts w:hint="eastAsia" w:ascii="宋体" w:hAnsi="宋体" w:cs="宋体"/>
          <w:b/>
          <w:sz w:val="36"/>
          <w:szCs w:val="36"/>
        </w:rPr>
      </w:r>
      <w:r/>
    </w:p>
    <w:p>
      <w:pPr>
        <w:pStyle w:val="1070"/>
        <w:jc w:val="center"/>
        <w:spacing w:line="360" w:lineRule="auto"/>
        <w:tabs>
          <w:tab w:val="left" w:pos="1080" w:leader="none"/>
        </w:tabs>
        <w:rPr>
          <w:rFonts w:hint="eastAsia" w:ascii="宋体" w:hAnsi="宋体" w:cs="宋体"/>
          <w:b/>
          <w:sz w:val="36"/>
          <w:szCs w:val="36"/>
        </w:rPr>
      </w:pPr>
      <w:r>
        <w:rPr>
          <w:rFonts w:hint="eastAsia" w:ascii="宋体" w:hAnsi="宋体" w:cs="宋体"/>
          <w:b/>
          <w:sz w:val="36"/>
          <w:szCs w:val="36"/>
        </w:rPr>
      </w:r>
      <w:r/>
    </w:p>
    <w:p>
      <w:pPr>
        <w:pStyle w:val="1070"/>
        <w:jc w:val="center"/>
        <w:spacing w:line="360" w:lineRule="auto"/>
        <w:tabs>
          <w:tab w:val="left" w:pos="1080" w:leader="none"/>
        </w:tabs>
        <w:rPr>
          <w:rFonts w:hint="eastAsia" w:ascii="宋体" w:hAnsi="宋体" w:cs="宋体"/>
          <w:b/>
          <w:sz w:val="36"/>
          <w:szCs w:val="36"/>
        </w:rPr>
      </w:pPr>
      <w:r>
        <w:rPr>
          <w:rFonts w:hint="eastAsia" w:ascii="宋体" w:hAnsi="宋体" w:cs="宋体"/>
          <w:b/>
          <w:sz w:val="36"/>
          <w:szCs w:val="36"/>
        </w:rPr>
      </w:r>
      <w:r/>
    </w:p>
    <w:p>
      <w:pPr>
        <w:pStyle w:val="1070"/>
        <w:jc w:val="center"/>
        <w:spacing w:line="360" w:lineRule="auto"/>
        <w:tabs>
          <w:tab w:val="left" w:pos="1080" w:leader="none"/>
        </w:tabs>
        <w:rPr>
          <w:rFonts w:hint="eastAsia" w:ascii="宋体" w:hAnsi="宋体" w:cs="宋体"/>
          <w:b/>
          <w:sz w:val="36"/>
          <w:szCs w:val="36"/>
        </w:rPr>
      </w:pPr>
      <w:r>
        <w:rPr>
          <w:rFonts w:hint="eastAsia" w:ascii="宋体" w:hAnsi="宋体" w:cs="宋体"/>
          <w:b/>
          <w:sz w:val="36"/>
          <w:szCs w:val="36"/>
        </w:rPr>
      </w:r>
      <w:r/>
    </w:p>
    <w:p>
      <w:pPr>
        <w:pStyle w:val="1070"/>
        <w:jc w:val="center"/>
        <w:spacing w:line="360" w:lineRule="auto"/>
        <w:tabs>
          <w:tab w:val="left" w:pos="1080" w:leader="none"/>
        </w:tabs>
        <w:rPr>
          <w:rFonts w:hint="eastAsia" w:ascii="宋体" w:hAnsi="宋体" w:cs="宋体"/>
          <w:b/>
          <w:sz w:val="36"/>
          <w:szCs w:val="36"/>
        </w:rPr>
      </w:pPr>
      <w:r>
        <w:rPr>
          <w:rFonts w:hint="eastAsia" w:ascii="宋体" w:hAnsi="宋体" w:cs="宋体"/>
          <w:b/>
          <w:sz w:val="36"/>
          <w:szCs w:val="36"/>
        </w:rPr>
      </w:r>
      <w:r/>
    </w:p>
    <w:p>
      <w:pPr>
        <w:pStyle w:val="1070"/>
        <w:jc w:val="center"/>
        <w:spacing w:line="360" w:lineRule="auto"/>
        <w:tabs>
          <w:tab w:val="left" w:pos="1080" w:leader="none"/>
        </w:tabs>
        <w:rPr>
          <w:rFonts w:hint="eastAsia" w:ascii="宋体" w:hAnsi="宋体" w:cs="宋体"/>
          <w:b/>
          <w:sz w:val="36"/>
          <w:szCs w:val="36"/>
        </w:rPr>
      </w:pPr>
      <w:r>
        <w:rPr>
          <w:rFonts w:hint="eastAsia" w:ascii="宋体" w:hAnsi="宋体" w:cs="宋体"/>
          <w:b/>
          <w:sz w:val="36"/>
          <w:szCs w:val="36"/>
        </w:rPr>
      </w:r>
      <w:r/>
    </w:p>
    <w:p>
      <w:pPr>
        <w:pStyle w:val="1070"/>
        <w:jc w:val="center"/>
        <w:spacing w:line="360" w:lineRule="auto"/>
        <w:tabs>
          <w:tab w:val="left" w:pos="1080" w:leader="none"/>
        </w:tabs>
        <w:rPr>
          <w:rFonts w:hint="eastAsia" w:ascii="宋体" w:hAnsi="宋体" w:cs="宋体"/>
          <w:b/>
          <w:sz w:val="36"/>
          <w:szCs w:val="36"/>
        </w:rPr>
      </w:pPr>
      <w:r>
        <w:rPr>
          <w:rFonts w:hint="eastAsia" w:ascii="宋体" w:hAnsi="宋体" w:cs="宋体"/>
          <w:b/>
          <w:sz w:val="36"/>
          <w:szCs w:val="36"/>
        </w:rPr>
      </w:r>
      <w:r/>
    </w:p>
    <w:p>
      <w:pPr>
        <w:pStyle w:val="1070"/>
        <w:jc w:val="center"/>
        <w:spacing w:line="360" w:lineRule="auto"/>
        <w:tabs>
          <w:tab w:val="left" w:pos="1080" w:leader="none"/>
        </w:tabs>
        <w:rPr>
          <w:rFonts w:hint="eastAsia" w:ascii="宋体" w:hAnsi="宋体" w:cs="宋体"/>
          <w:b/>
          <w:sz w:val="36"/>
          <w:szCs w:val="36"/>
        </w:rPr>
      </w:pPr>
      <w:r>
        <w:rPr>
          <w:rFonts w:hint="eastAsia" w:ascii="宋体" w:hAnsi="宋体" w:cs="宋体"/>
          <w:b/>
          <w:sz w:val="36"/>
          <w:szCs w:val="36"/>
        </w:rPr>
      </w:r>
      <w:r/>
    </w:p>
    <w:p>
      <w:pPr>
        <w:pStyle w:val="1070"/>
        <w:jc w:val="center"/>
        <w:spacing w:line="360" w:lineRule="auto"/>
        <w:tabs>
          <w:tab w:val="left" w:pos="1080" w:leader="none"/>
        </w:tabs>
        <w:rPr>
          <w:rFonts w:hint="eastAsia" w:ascii="宋体" w:hAnsi="宋体" w:cs="宋体"/>
          <w:b/>
          <w:sz w:val="36"/>
          <w:szCs w:val="36"/>
        </w:rPr>
      </w:pPr>
      <w:r>
        <w:rPr>
          <w:rFonts w:hint="eastAsia" w:ascii="宋体" w:hAnsi="宋体" w:cs="宋体"/>
          <w:b/>
          <w:sz w:val="36"/>
          <w:szCs w:val="36"/>
        </w:rPr>
        <w:t xml:space="preserve">第五章   合同草案条款</w:t>
      </w:r>
      <w:bookmarkEnd w:id="540"/>
      <w:r>
        <w:rPr>
          <w:rFonts w:hint="eastAsia" w:ascii="宋体" w:hAnsi="宋体" w:cs="宋体"/>
          <w:b/>
          <w:sz w:val="36"/>
          <w:szCs w:val="36"/>
        </w:rPr>
      </w:r>
      <w:r/>
    </w:p>
    <w:p>
      <w:pPr>
        <w:pStyle w:val="1070"/>
        <w:spacing w:line="360" w:lineRule="auto"/>
        <w:rPr>
          <w:rFonts w:hint="eastAsia" w:ascii="宋体" w:hAnsi="宋体" w:eastAsia="宋体" w:cs="宋体"/>
          <w:color w:val="000000"/>
          <w:sz w:val="24"/>
          <w:highlight w:val="none"/>
        </w:rPr>
      </w:pPr>
      <w:r/>
      <w:bookmarkEnd w:id="537"/>
      <w:r/>
      <w:bookmarkEnd w:id="538"/>
      <w:r/>
      <w:bookmarkEnd w:id="539"/>
      <w:r/>
      <w:bookmarkStart w:id="541" w:name="_Toc104818930"/>
      <w:r>
        <w:rPr>
          <w:rFonts w:hint="eastAsia" w:ascii="宋体" w:hAnsi="宋体" w:eastAsia="宋体" w:cs="宋体"/>
          <w:color w:val="000000"/>
          <w:sz w:val="24"/>
          <w:highlight w:val="none"/>
        </w:rPr>
        <w:t xml:space="preserve">合同编号：                    </w:t>
      </w:r>
      <w:r>
        <w:rPr>
          <w:rFonts w:hint="eastAsia" w:ascii="宋体" w:hAnsi="宋体" w:eastAsia="宋体" w:cs="宋体"/>
          <w:color w:val="000000"/>
          <w:sz w:val="24"/>
          <w:highlight w:val="none"/>
        </w:rPr>
      </w:r>
      <w:r/>
    </w:p>
    <w:p>
      <w:pPr>
        <w:pStyle w:val="10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签约地点：溧阳                签约时间：</w:t>
      </w:r>
      <w:r>
        <w:rPr>
          <w:rFonts w:hint="eastAsia" w:ascii="宋体" w:hAnsi="宋体" w:eastAsia="宋体" w:cs="宋体"/>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4680"/>
      </w:tblGrid>
      <w:tr>
        <w:trPr/>
        <w:tc>
          <w:tcPr>
            <w:tcW w:w="4680" w:type="dxa"/>
            <w:vAlign w:val="top"/>
            <w:textDirection w:val="lrTb"/>
            <w:noWrap w:val="false"/>
          </w:tcPr>
          <w:p>
            <w:pPr>
              <w:pStyle w:val="10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采购人（甲方）：</w:t>
            </w:r>
            <w:r>
              <w:rPr>
                <w:rFonts w:hint="eastAsia" w:ascii="宋体" w:hAnsi="宋体" w:eastAsia="宋体" w:cs="宋体"/>
                <w:color w:val="000000"/>
                <w:sz w:val="24"/>
                <w:highlight w:val="none"/>
              </w:rPr>
            </w:r>
            <w:r/>
          </w:p>
        </w:tc>
        <w:tc>
          <w:tcPr>
            <w:tcW w:w="4680" w:type="dxa"/>
            <w:vAlign w:val="top"/>
            <w:textDirection w:val="lrTb"/>
            <w:noWrap w:val="false"/>
          </w:tcPr>
          <w:p>
            <w:pPr>
              <w:pStyle w:val="10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中标供应商（乙方）：</w:t>
            </w:r>
            <w:r>
              <w:rPr>
                <w:rFonts w:hint="eastAsia" w:ascii="宋体" w:hAnsi="宋体" w:eastAsia="宋体" w:cs="宋体"/>
                <w:color w:val="000000"/>
                <w:sz w:val="24"/>
                <w:highlight w:val="none"/>
              </w:rPr>
            </w:r>
            <w:r/>
          </w:p>
        </w:tc>
      </w:tr>
      <w:tr>
        <w:trPr/>
        <w:tc>
          <w:tcPr>
            <w:tcW w:w="4680" w:type="dxa"/>
            <w:vAlign w:val="top"/>
            <w:textDirection w:val="lrTb"/>
            <w:noWrap w:val="false"/>
          </w:tcPr>
          <w:p>
            <w:pPr>
              <w:pStyle w:val="10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住所地：</w:t>
            </w:r>
            <w:r>
              <w:rPr>
                <w:rFonts w:hint="eastAsia" w:ascii="宋体" w:hAnsi="宋体" w:eastAsia="宋体" w:cs="宋体"/>
                <w:color w:val="000000"/>
                <w:sz w:val="24"/>
                <w:highlight w:val="none"/>
              </w:rPr>
            </w:r>
            <w:r/>
          </w:p>
        </w:tc>
        <w:tc>
          <w:tcPr>
            <w:tcW w:w="4680" w:type="dxa"/>
            <w:vAlign w:val="top"/>
            <w:textDirection w:val="lrTb"/>
            <w:noWrap w:val="false"/>
          </w:tcPr>
          <w:p>
            <w:pPr>
              <w:pStyle w:val="10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住所地：</w:t>
            </w:r>
            <w:r>
              <w:rPr>
                <w:rFonts w:hint="eastAsia" w:ascii="宋体" w:hAnsi="宋体" w:eastAsia="宋体" w:cs="宋体"/>
                <w:color w:val="000000"/>
                <w:sz w:val="24"/>
                <w:highlight w:val="none"/>
              </w:rPr>
            </w:r>
            <w:r/>
          </w:p>
        </w:tc>
      </w:tr>
    </w:tbl>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根据《中华人民共和国政府采购法》、《中华人民共和国民法典》等法律法规的规定，</w:t>
      </w:r>
      <w:r>
        <w:rPr>
          <w:rFonts w:hint="eastAsia" w:ascii="宋体" w:hAnsi="宋体" w:eastAsia="宋体" w:cs="Times New Roman"/>
          <w:color w:val="000000"/>
          <w:sz w:val="24"/>
          <w:highlight w:val="none"/>
        </w:rPr>
        <w:t xml:space="preserve">甲乙双方按照本项目的采购结果签订本合同。</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b/>
          <w:bCs/>
          <w:color w:val="000000"/>
          <w:sz w:val="24"/>
          <w:highlight w:val="none"/>
        </w:rPr>
        <w:t xml:space="preserve">一、项目概况及合同金额</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 项目编号：                 </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 项目名称：                 </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 作业范围及内容：                </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color w:val="000000"/>
          <w:sz w:val="24"/>
          <w:highlight w:val="none"/>
        </w:rPr>
        <w:t xml:space="preserve">4. 作业服务期：一年（年</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日至</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年</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日）。</w:t>
      </w:r>
      <w:r>
        <w:rPr>
          <w:rFonts w:hint="eastAsia" w:ascii="宋体" w:hAnsi="宋体" w:eastAsia="宋体" w:cs="Times New Roman"/>
          <w:b/>
          <w:bCs/>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 合同金额：人民币元/年</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大写</w:t>
      </w:r>
      <w:r>
        <w:rPr>
          <w:rFonts w:hint="eastAsia" w:ascii="宋体" w:hAnsi="宋体" w:eastAsia="宋体" w:cs="Times New Roman"/>
          <w:color w:val="000000"/>
          <w:sz w:val="24"/>
          <w:highlight w:val="none"/>
          <w:lang w:eastAsia="zh-CN"/>
        </w:rPr>
        <w:t xml:space="preserve">)</w:t>
      </w:r>
      <w:r>
        <w:rPr>
          <w:rFonts w:ascii="宋体" w:hAnsi="宋体" w:eastAsia="宋体" w:cs="Times New Roman"/>
          <w:color w:val="000000"/>
          <w:sz w:val="24"/>
          <w:highlight w:val="none"/>
        </w:rPr>
      </w:r>
      <w:r/>
    </w:p>
    <w:p>
      <w:pPr>
        <w:pStyle w:val="1070"/>
        <w:ind w:firstLine="482"/>
        <w:keepLines w:val="0"/>
        <w:keepNext w:val="0"/>
        <w:pageBreakBefore w:val="0"/>
        <w:spacing w:line="540" w:lineRule="exact"/>
        <w:widowControl w:val="off"/>
        <w:rPr>
          <w:rFonts w:hint="eastAsia"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rPr>
        <w:t xml:space="preserve">合同金额应为完成本项目年度作业服务所需的全部费用。包括但不限于人工费用（基本工资（不低于溧阳市最低工资）、加班工资、高温费、社保（企业缴纳）、福利劳保、工具等费用）、车辆费用（油费、保险）、设备维修保养费用、设备折旧费用</w:t>
      </w:r>
      <w:r>
        <w:rPr>
          <w:rFonts w:hint="eastAsia" w:ascii="宋体" w:hAnsi="宋体" w:eastAsia="宋体" w:cs="Times New Roman"/>
          <w:b/>
          <w:bCs/>
          <w:color w:val="000000"/>
          <w:sz w:val="24"/>
          <w:highlight w:val="none"/>
          <w:lang w:eastAsia="zh-CN"/>
        </w:rPr>
        <w:t xml:space="preserve">、</w:t>
      </w:r>
      <w:r>
        <w:rPr>
          <w:rFonts w:hint="eastAsia" w:ascii="宋体" w:hAnsi="宋体"/>
          <w:b/>
          <w:bCs/>
          <w:sz w:val="24"/>
        </w:rPr>
        <w:t xml:space="preserve">保险费、培训、办公设备、耗材、利润、管理费、税金及政策性文件规定等各项应有费用，以及为完成该项服务项目所涉及到的一切相关费用</w:t>
      </w:r>
      <w:r>
        <w:rPr>
          <w:rFonts w:hint="eastAsia" w:ascii="宋体" w:hAnsi="宋体"/>
          <w:b/>
          <w:bCs/>
          <w:sz w:val="24"/>
          <w:lang w:eastAsia="zh-CN"/>
        </w:rPr>
        <w:t xml:space="preserve">。</w:t>
      </w:r>
      <w:r>
        <w:rPr>
          <w:rFonts w:hint="eastAsia" w:ascii="宋体" w:hAnsi="宋体" w:eastAsia="宋体" w:cs="Times New Roman"/>
          <w:b/>
          <w:bCs/>
          <w:color w:val="000000"/>
          <w:sz w:val="24"/>
          <w:highlight w:val="none"/>
          <w:lang w:eastAsia="zh-CN"/>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6.</w:t>
      </w:r>
      <w:r>
        <w:rPr>
          <w:rFonts w:hint="eastAsia" w:ascii="宋体" w:hAnsi="宋体" w:eastAsia="宋体" w:cs="Times New Roman"/>
          <w:color w:val="000000"/>
          <w:sz w:val="24"/>
          <w:highlight w:val="none"/>
        </w:rPr>
        <w:t xml:space="preserve">项目负责人：</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二、甲方权利和义务：</w:t>
      </w:r>
      <w:r>
        <w:rPr>
          <w:rFonts w:hint="eastAsia" w:ascii="宋体" w:hAnsi="宋体" w:eastAsia="宋体" w:cs="Times New Roman"/>
          <w:b/>
          <w:bCs/>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根据</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社渚镇环卫综合处理中心运营标准及考核评分细则》（见附件），对乙方作业服务及履行合同情况进行考核和指导。</w:t>
      </w:r>
      <w:r>
        <w:rPr>
          <w:rFonts w:hint="eastAsia"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rPr>
        <w:t xml:space="preserve">就本项目作业考核结果，</w:t>
      </w:r>
      <w:r>
        <w:rPr>
          <w:rFonts w:hint="eastAsia" w:ascii="宋体" w:hAnsi="宋体" w:eastAsia="宋体" w:cs="Times New Roman"/>
          <w:b/>
          <w:bCs/>
          <w:color w:val="000000"/>
          <w:sz w:val="24"/>
          <w:highlight w:val="none"/>
        </w:rPr>
        <w:t xml:space="preserve">按</w:t>
      </w:r>
      <w:r>
        <w:rPr>
          <w:rFonts w:hint="eastAsia" w:ascii="宋体" w:hAnsi="宋体" w:eastAsia="宋体" w:cs="Times New Roman"/>
          <w:b/>
          <w:bCs/>
          <w:color w:val="000000"/>
          <w:sz w:val="24"/>
          <w:highlight w:val="none"/>
          <w:lang w:val="en-US" w:eastAsia="zh-CN"/>
        </w:rPr>
        <w:t xml:space="preserve">季度</w:t>
      </w:r>
      <w:r>
        <w:rPr>
          <w:rFonts w:hint="eastAsia" w:ascii="宋体" w:hAnsi="宋体" w:eastAsia="宋体" w:cs="Times New Roman"/>
          <w:b/>
          <w:bCs/>
          <w:color w:val="000000"/>
          <w:sz w:val="24"/>
          <w:highlight w:val="none"/>
        </w:rPr>
        <w:t xml:space="preserve">向乙方支付承包费。</w:t>
      </w:r>
      <w:r>
        <w:rPr>
          <w:rFonts w:hint="eastAsia" w:ascii="宋体" w:hAnsi="宋体" w:eastAsia="宋体" w:cs="Times New Roman"/>
          <w:b/>
          <w:bCs/>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rPr>
        <w:t xml:space="preserve">听取乙方提出的建议并给予答复。</w:t>
      </w:r>
      <w:r>
        <w:rPr>
          <w:rFonts w:hint="eastAsia"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4.</w:t>
      </w:r>
      <w:r>
        <w:rPr>
          <w:rFonts w:hint="eastAsia" w:ascii="宋体" w:hAnsi="宋体" w:eastAsia="宋体" w:cs="Times New Roman"/>
          <w:color w:val="000000"/>
          <w:sz w:val="24"/>
          <w:highlight w:val="none"/>
        </w:rPr>
        <w:t xml:space="preserve">监督乙方履行承诺。</w:t>
      </w:r>
      <w:r>
        <w:rPr>
          <w:rFonts w:hint="eastAsia"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三、乙方权利和义务</w:t>
      </w:r>
      <w:r>
        <w:rPr>
          <w:rFonts w:hint="eastAsia" w:ascii="宋体" w:hAnsi="宋体" w:eastAsia="宋体" w:cs="Times New Roman"/>
          <w:b/>
          <w:bCs/>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根据《社渚镇环卫综合处理中心运营标准及考核评分细则》和投标文件所作的承诺组织作业。</w:t>
      </w:r>
      <w:r>
        <w:rPr>
          <w:rFonts w:hint="eastAsia"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rPr>
        <w:t xml:space="preserve">为保证作业的正常有效开展，乙方负责组成固定的专业服务队伍，按要求提交作业计划和预案，经甲方认可并备案。</w:t>
      </w:r>
      <w:r>
        <w:rPr>
          <w:rFonts w:hint="eastAsia"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rPr>
        <w:t xml:space="preserve">接受甲方和相关管理部门的考核及其结果。</w:t>
      </w:r>
      <w:r>
        <w:rPr>
          <w:rFonts w:hint="eastAsia"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4.</w:t>
      </w:r>
      <w:r>
        <w:rPr>
          <w:rFonts w:hint="eastAsia" w:ascii="宋体" w:hAnsi="宋体" w:eastAsia="宋体" w:cs="Times New Roman"/>
          <w:color w:val="000000"/>
          <w:sz w:val="24"/>
          <w:highlight w:val="none"/>
        </w:rPr>
        <w:t xml:space="preserve">独立承担作业中的安全责任和经济赔偿。</w:t>
      </w:r>
      <w:r>
        <w:rPr>
          <w:rFonts w:hint="eastAsia"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5.</w:t>
      </w:r>
      <w:r>
        <w:rPr>
          <w:rFonts w:hint="eastAsia" w:ascii="宋体" w:hAnsi="宋体" w:eastAsia="宋体" w:cs="Times New Roman"/>
          <w:color w:val="000000"/>
          <w:sz w:val="24"/>
          <w:highlight w:val="none"/>
        </w:rPr>
        <w:t xml:space="preserve">在任何情况下（如灾害天气期间或重大活动期间），乙方均应保质保量按时完成甲方或政府主管部门安排的指令性任务。</w:t>
      </w:r>
      <w:r>
        <w:rPr>
          <w:rFonts w:hint="eastAsia"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6.</w:t>
      </w:r>
      <w:r>
        <w:rPr>
          <w:rFonts w:hint="eastAsia" w:ascii="宋体" w:hAnsi="宋体" w:eastAsia="宋体" w:cs="Times New Roman"/>
          <w:color w:val="000000"/>
          <w:sz w:val="24"/>
          <w:highlight w:val="none"/>
        </w:rPr>
        <w:t xml:space="preserve">自觉执行国家的法律、法规，按规定签订劳动用工合同，办理各类保险，作业及管理人员工资按溧阳市有关规定执行，独立处理劳资纠纷等工作。</w:t>
      </w:r>
      <w:r>
        <w:rPr>
          <w:rFonts w:hint="eastAsia"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7.</w:t>
      </w:r>
      <w:r>
        <w:rPr>
          <w:rFonts w:hint="eastAsia" w:ascii="宋体" w:hAnsi="宋体" w:eastAsia="宋体" w:cs="Times New Roman"/>
          <w:color w:val="000000"/>
          <w:sz w:val="24"/>
          <w:highlight w:val="none"/>
        </w:rPr>
        <w:t xml:space="preserve">接受甲方和社会监督，对存在的问题在指定时间内整改到位，并将整改结果报甲方。</w:t>
      </w:r>
      <w:r>
        <w:rPr>
          <w:rFonts w:hint="eastAsia"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8.</w:t>
      </w:r>
      <w:r>
        <w:rPr>
          <w:rFonts w:hint="eastAsia" w:ascii="宋体" w:hAnsi="宋体" w:eastAsia="宋体" w:cs="Times New Roman"/>
          <w:color w:val="000000"/>
          <w:sz w:val="24"/>
          <w:highlight w:val="none"/>
        </w:rPr>
        <w:t xml:space="preserve">准时参加甲方召开的会议。</w:t>
      </w:r>
      <w:r>
        <w:rPr>
          <w:rFonts w:hint="eastAsia"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color w:val="000000"/>
          <w:sz w:val="24"/>
          <w:highlight w:val="none"/>
          <w:lang w:eastAsia="zh-CN"/>
        </w:rPr>
        <w:t xml:space="preserve">9.</w:t>
      </w:r>
      <w:r>
        <w:rPr>
          <w:rFonts w:hint="eastAsia" w:ascii="宋体" w:hAnsi="宋体" w:eastAsia="宋体" w:cs="Times New Roman"/>
          <w:b/>
          <w:bCs/>
          <w:color w:val="000000"/>
          <w:sz w:val="24"/>
          <w:highlight w:val="none"/>
        </w:rPr>
        <w:t xml:space="preserve">乙方因突发事件且非乙方原因的停运的，应及时汇报甲方；乙方因自身原因连续停运3天或累计停运5天的，视为乙方不履行合同，甲方有权终止合同。</w:t>
      </w:r>
      <w:r>
        <w:rPr>
          <w:rFonts w:hint="eastAsia" w:ascii="宋体" w:hAnsi="宋体" w:eastAsia="宋体" w:cs="Times New Roman"/>
          <w:b/>
          <w:bCs/>
          <w:color w:val="000000"/>
          <w:sz w:val="24"/>
          <w:highlight w:val="none"/>
        </w:rPr>
      </w:r>
      <w:r/>
    </w:p>
    <w:p>
      <w:pPr>
        <w:pStyle w:val="1070"/>
        <w:ind w:firstLine="482"/>
        <w:keepLines w:val="0"/>
        <w:keepNext w:val="0"/>
        <w:pageBreakBefore w:val="0"/>
        <w:spacing w:line="54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eastAsia="zh-CN"/>
        </w:rPr>
        <w:t xml:space="preserve">10.</w:t>
      </w:r>
      <w:r>
        <w:rPr>
          <w:rFonts w:hint="eastAsia" w:ascii="宋体" w:hAnsi="宋体" w:eastAsia="宋体" w:cs="Times New Roman"/>
          <w:b/>
          <w:bCs/>
          <w:color w:val="000000"/>
          <w:sz w:val="24"/>
          <w:highlight w:val="none"/>
        </w:rPr>
        <w:t xml:space="preserve">乙方不得接收未经甲方许可的任何其他物料，发现2次（含）以上，甲方有权终止合同。</w:t>
      </w:r>
      <w:r>
        <w:rPr>
          <w:rFonts w:hint="eastAsia" w:ascii="宋体" w:hAnsi="宋体" w:eastAsia="宋体" w:cs="Times New Roman"/>
          <w:b/>
          <w:bCs/>
          <w:color w:val="000000"/>
          <w:sz w:val="24"/>
          <w:highlight w:val="none"/>
        </w:rPr>
      </w:r>
      <w:r/>
    </w:p>
    <w:p>
      <w:pPr>
        <w:pStyle w:val="1070"/>
        <w:ind w:firstLine="482"/>
        <w:keepLines w:val="0"/>
        <w:keepNext w:val="0"/>
        <w:pageBreakBefore w:val="0"/>
        <w:spacing w:line="540" w:lineRule="exact"/>
        <w:widowControl w:val="off"/>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eastAsia="zh-CN"/>
        </w:rPr>
        <w:t xml:space="preserve">11.</w:t>
      </w:r>
      <w:r>
        <w:rPr>
          <w:rFonts w:hint="eastAsia" w:ascii="宋体" w:hAnsi="宋体" w:eastAsia="宋体" w:cs="Times New Roman"/>
          <w:color w:val="000000"/>
          <w:sz w:val="24"/>
          <w:highlight w:val="none"/>
        </w:rPr>
        <w:t xml:space="preserve">乙方必须做到安全运行，无事故发生。如乙方在履行合同过程中发生任何安全事故或交通事故等，造成人员伤亡或财产损失的，全部责任由乙方自行承担，与甲方无关；如由此造成甲方损失的，甲方有权</w:t>
      </w:r>
      <w:r>
        <w:rPr>
          <w:rFonts w:hint="eastAsia" w:ascii="宋体" w:hAnsi="宋体" w:eastAsia="宋体" w:cs="Times New Roman"/>
          <w:color w:val="000000"/>
          <w:sz w:val="24"/>
          <w:highlight w:val="none"/>
          <w:lang w:val="en-US" w:eastAsia="zh-CN"/>
        </w:rPr>
        <w:t xml:space="preserve">要求赔偿</w:t>
      </w:r>
      <w:r>
        <w:rPr>
          <w:rFonts w:hint="eastAsia" w:ascii="宋体" w:hAnsi="宋体" w:eastAsia="宋体" w:cs="Times New Roman"/>
          <w:color w:val="000000"/>
          <w:sz w:val="24"/>
          <w:highlight w:val="none"/>
        </w:rPr>
        <w:t xml:space="preserve">相应损失部分。</w:t>
      </w:r>
      <w:r>
        <w:rPr>
          <w:rFonts w:ascii="宋体" w:hAnsi="宋体" w:eastAsia="宋体" w:cs="Times New Roman"/>
          <w:b/>
          <w:bCs/>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12.</w:t>
      </w:r>
      <w:r>
        <w:rPr>
          <w:rFonts w:hint="eastAsia" w:ascii="宋体" w:hAnsi="宋体" w:eastAsia="宋体" w:cs="Times New Roman"/>
          <w:color w:val="000000"/>
          <w:sz w:val="24"/>
          <w:highlight w:val="none"/>
        </w:rPr>
        <w:t xml:space="preserve">向甲方提出合理化建议。</w:t>
      </w:r>
      <w:r>
        <w:rPr>
          <w:rFonts w:hint="eastAsia"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四、结算、付款方式</w:t>
      </w:r>
      <w:r>
        <w:rPr>
          <w:rFonts w:ascii="宋体" w:hAnsi="宋体" w:eastAsia="宋体" w:cs="Times New Roman"/>
          <w:b/>
          <w:bCs/>
          <w:color w:val="000000"/>
          <w:sz w:val="24"/>
          <w:highlight w:val="none"/>
        </w:rPr>
      </w:r>
      <w:r/>
    </w:p>
    <w:p>
      <w:pPr>
        <w:pStyle w:val="1070"/>
        <w:ind w:firstLine="482"/>
        <w:keepLines w:val="0"/>
        <w:keepNext w:val="0"/>
        <w:pageBreakBefore w:val="0"/>
        <w:spacing w:line="54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本项目固定总价，按乙方的中标价一次性包干，结算不做任何调整。</w:t>
      </w:r>
      <w:r>
        <w:rPr>
          <w:rFonts w:hint="eastAsia" w:ascii="宋体" w:hAnsi="宋体" w:eastAsia="宋体" w:cs="Times New Roman"/>
          <w:b/>
          <w:bCs/>
          <w:color w:val="000000"/>
          <w:sz w:val="24"/>
          <w:highlight w:val="none"/>
        </w:rPr>
      </w:r>
      <w:r/>
    </w:p>
    <w:p>
      <w:pPr>
        <w:pStyle w:val="1070"/>
        <w:ind w:firstLine="482"/>
        <w:keepLines w:val="0"/>
        <w:keepNext w:val="0"/>
        <w:pageBreakBefore w:val="0"/>
        <w:spacing w:line="54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rPr>
        <w:t xml:space="preserve">运营服务费</w:t>
      </w:r>
      <w:r>
        <w:rPr>
          <w:rFonts w:hint="eastAsia" w:ascii="宋体" w:hAnsi="宋体" w:eastAsia="宋体" w:cs="Times New Roman"/>
          <w:b/>
          <w:bCs/>
          <w:color w:val="000000"/>
          <w:sz w:val="24"/>
          <w:highlight w:val="none"/>
          <w:lang w:val="en-US" w:eastAsia="zh-CN"/>
        </w:rPr>
        <w:t xml:space="preserve">按季度支</w:t>
      </w:r>
      <w:r>
        <w:rPr>
          <w:rFonts w:hint="eastAsia" w:ascii="宋体" w:hAnsi="宋体" w:eastAsia="宋体" w:cs="Times New Roman"/>
          <w:b/>
          <w:bCs/>
          <w:color w:val="000000"/>
          <w:sz w:val="24"/>
          <w:highlight w:val="none"/>
        </w:rPr>
        <w:t xml:space="preserve">付。</w:t>
      </w:r>
      <w:r>
        <w:rPr>
          <w:rFonts w:hint="eastAsia" w:ascii="宋体" w:hAnsi="宋体" w:eastAsia="宋体" w:cs="Times New Roman"/>
          <w:b/>
          <w:bCs/>
          <w:color w:val="000000"/>
          <w:sz w:val="24"/>
          <w:highlight w:val="none"/>
          <w:lang w:val="en-US" w:eastAsia="zh-CN"/>
        </w:rPr>
        <w:t xml:space="preserve">每季度（三个月为1个季度，一年4个季度）支付一次，具体金额根据《社渚镇环卫综合处理中心运营标准及考核评分细则》（见附件）进行考核，以考核结果为准，季度支付公式：季度款=合同价（每年费用）/4（季度数）*运营绩效考核成绩系数。运营期绩效考核每季度不低于3次，成绩取其平均数，由社渚镇综合行政执法局组织执行，每季度末计算考核成绩，具体考核系数标准为：</w:t>
      </w:r>
      <w:r>
        <w:rPr>
          <w:rFonts w:hint="eastAsia" w:ascii="宋体" w:hAnsi="宋体" w:eastAsia="宋体" w:cs="Times New Roman"/>
          <w:b/>
          <w:bCs/>
          <w:color w:val="000000"/>
          <w:sz w:val="24"/>
          <w:highlight w:val="none"/>
          <w:lang w:val="en-US" w:eastAsia="zh-CN"/>
        </w:rPr>
      </w:r>
      <w:r/>
    </w:p>
    <w:p>
      <w:pPr>
        <w:pStyle w:val="1070"/>
        <w:ind w:firstLine="482"/>
        <w:keepLines w:val="0"/>
        <w:keepNext w:val="0"/>
        <w:pageBreakBefore w:val="0"/>
        <w:spacing w:line="54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考核成绩在90分及以上，运营绩效考核成绩系数为1；考核成绩在90~80分的，运营绩效考核成绩系数为0.95；考核成绩在80~70分的，运营绩效考核成绩系数为0.9；考核成绩在70~60分的，运营绩效考核成绩系数为0.8；考核成绩在60分及以下，运营绩效考核成绩系数为0.6（</w:t>
      </w:r>
      <w:r>
        <w:rPr>
          <w:rFonts w:hint="eastAsia" w:ascii="宋体" w:hAnsi="宋体" w:eastAsia="宋体" w:cs="Times New Roman"/>
          <w:b/>
          <w:bCs/>
          <w:color w:val="000000"/>
          <w:sz w:val="24"/>
          <w:highlight w:val="none"/>
          <w:lang w:eastAsia="zh-CN"/>
        </w:rPr>
        <w:t xml:space="preserve">运营</w:t>
      </w:r>
      <w:r>
        <w:rPr>
          <w:rFonts w:hint="eastAsia" w:ascii="宋体" w:hAnsi="宋体" w:eastAsia="宋体" w:cs="Times New Roman"/>
          <w:b/>
          <w:bCs/>
          <w:color w:val="000000"/>
          <w:sz w:val="24"/>
          <w:highlight w:val="none"/>
        </w:rPr>
        <w:t xml:space="preserve">期内考核结果连续2</w:t>
      </w:r>
      <w:r>
        <w:rPr>
          <w:rFonts w:hint="eastAsia" w:ascii="宋体" w:hAnsi="宋体" w:eastAsia="宋体" w:cs="Times New Roman"/>
          <w:b/>
          <w:bCs/>
          <w:color w:val="000000"/>
          <w:sz w:val="24"/>
          <w:highlight w:val="none"/>
          <w:lang w:eastAsia="zh-CN"/>
        </w:rPr>
        <w:t xml:space="preserve">个季度</w:t>
      </w:r>
      <w:r>
        <w:rPr>
          <w:rFonts w:hint="eastAsia" w:ascii="宋体" w:hAnsi="宋体" w:eastAsia="宋体" w:cs="Times New Roman"/>
          <w:b/>
          <w:bCs/>
          <w:color w:val="000000"/>
          <w:sz w:val="24"/>
          <w:highlight w:val="none"/>
        </w:rPr>
        <w:t xml:space="preserve">或全年累计有</w:t>
      </w:r>
      <w:r>
        <w:rPr>
          <w:rFonts w:hint="eastAsia" w:ascii="宋体" w:hAnsi="宋体" w:eastAsia="宋体" w:cs="Times New Roman"/>
          <w:b/>
          <w:bCs/>
          <w:color w:val="000000"/>
          <w:sz w:val="24"/>
          <w:highlight w:val="none"/>
          <w:lang w:val="en-US" w:eastAsia="zh-CN"/>
        </w:rPr>
        <w:t xml:space="preserve">3个季度</w:t>
      </w:r>
      <w:r>
        <w:rPr>
          <w:rFonts w:hint="eastAsia" w:ascii="宋体" w:hAnsi="宋体" w:eastAsia="宋体" w:cs="Times New Roman"/>
          <w:b/>
          <w:bCs/>
          <w:color w:val="000000"/>
          <w:sz w:val="24"/>
          <w:highlight w:val="none"/>
        </w:rPr>
        <w:t xml:space="preserve">低于</w:t>
      </w:r>
      <w:r>
        <w:rPr>
          <w:rFonts w:hint="eastAsia" w:ascii="宋体" w:hAnsi="宋体" w:eastAsia="宋体" w:cs="Times New Roman"/>
          <w:b/>
          <w:bCs/>
          <w:color w:val="000000"/>
          <w:sz w:val="24"/>
          <w:highlight w:val="none"/>
          <w:lang w:val="en-US" w:eastAsia="zh-CN"/>
        </w:rPr>
        <w:t xml:space="preserve">6</w:t>
      </w:r>
      <w:r>
        <w:rPr>
          <w:rFonts w:hint="eastAsia" w:ascii="宋体" w:hAnsi="宋体" w:eastAsia="宋体" w:cs="Times New Roman"/>
          <w:b/>
          <w:bCs/>
          <w:color w:val="000000"/>
          <w:sz w:val="24"/>
          <w:highlight w:val="none"/>
        </w:rPr>
        <w:t xml:space="preserve">0分</w:t>
      </w:r>
      <w:r>
        <w:rPr>
          <w:rFonts w:hint="eastAsia" w:ascii="宋体" w:hAnsi="宋体" w:eastAsia="宋体" w:cs="Times New Roman"/>
          <w:b/>
          <w:bCs/>
          <w:color w:val="000000"/>
          <w:sz w:val="24"/>
          <w:highlight w:val="none"/>
          <w:lang w:eastAsia="zh-CN"/>
        </w:rPr>
        <w:t xml:space="preserve">的</w:t>
      </w:r>
      <w:r>
        <w:rPr>
          <w:rFonts w:hint="eastAsia" w:ascii="宋体" w:hAnsi="宋体" w:eastAsia="宋体" w:cs="Times New Roman"/>
          <w:b/>
          <w:bCs/>
          <w:color w:val="000000"/>
          <w:sz w:val="24"/>
          <w:highlight w:val="none"/>
        </w:rPr>
        <w:t xml:space="preserve">，甲方有权终止合同</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rPr>
        <w:t xml:space="preserve">注：付款前乙方需向甲方提供相应价款的发票。</w:t>
      </w:r>
      <w:r>
        <w:rPr>
          <w:rFonts w:hint="eastAsia" w:ascii="宋体" w:hAnsi="宋体" w:eastAsia="宋体" w:cs="Times New Roman"/>
          <w:b/>
          <w:bCs/>
          <w:color w:val="000000"/>
          <w:sz w:val="24"/>
          <w:highlight w:val="none"/>
        </w:rPr>
      </w:r>
      <w:r/>
    </w:p>
    <w:p>
      <w:pPr>
        <w:pStyle w:val="1070"/>
        <w:ind w:firstLine="482"/>
        <w:keepLines w:val="0"/>
        <w:keepNext w:val="0"/>
        <w:pageBreakBefore w:val="0"/>
        <w:spacing w:line="54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奖罚措施</w:t>
      </w:r>
      <w:r>
        <w:rPr>
          <w:rFonts w:hint="eastAsia" w:ascii="宋体" w:hAnsi="宋体" w:eastAsia="宋体" w:cs="Times New Roman"/>
          <w:b/>
          <w:bCs/>
          <w:color w:val="000000"/>
          <w:sz w:val="24"/>
          <w:highlight w:val="none"/>
          <w:lang w:val="en-US" w:eastAsia="zh-CN"/>
        </w:rPr>
      </w:r>
      <w:r/>
    </w:p>
    <w:p>
      <w:pPr>
        <w:pStyle w:val="1070"/>
        <w:ind w:firstLine="482"/>
        <w:keepLines w:val="0"/>
        <w:keepNext w:val="0"/>
        <w:pageBreakBefore w:val="0"/>
        <w:spacing w:line="54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甲方根据常州市和溧阳市城市长效综合管理考核情况对乙方进行处罚和奖励。每季度在溧阳市城市长效综合管理考核中每拍到每个（处）问题，甲方有权对乙方进行人民币5000元/个（处）的罚款。在常州市城市长效综合管理考核中每拍到每个（处）问题，甲方有权对乙方进行人民币10000元/个（处）的罚款（在每季度支付的运行费用中直接扣除）。全年在常州市和溧阳市城市长效综合管理考核中未被扣分的，奖励人民币50000元。</w:t>
      </w:r>
      <w:r>
        <w:rPr>
          <w:rFonts w:hint="eastAsia" w:ascii="宋体" w:hAnsi="宋体" w:eastAsia="宋体" w:cs="Times New Roman"/>
          <w:b/>
          <w:bCs/>
          <w:color w:val="000000"/>
          <w:sz w:val="24"/>
          <w:highlight w:val="none"/>
          <w:lang w:val="en-US" w:eastAsia="zh-CN"/>
        </w:rPr>
      </w:r>
      <w:r/>
    </w:p>
    <w:p>
      <w:pPr>
        <w:pStyle w:val="1070"/>
        <w:ind w:firstLine="482"/>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b/>
          <w:bCs/>
          <w:color w:val="000000"/>
          <w:sz w:val="24"/>
          <w:highlight w:val="none"/>
        </w:rPr>
        <w:t xml:space="preserve">五、环卫作业权的交付和回收</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甲方应于合同签订后，于   年   月    日向乙方交付作业权，乙方应于合同期满当日无条件向甲方交还作业权。甲乙双方应提前15天进行交接手续和准备，确保准时交接。</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六、违约责任</w:t>
      </w:r>
      <w:r>
        <w:rPr>
          <w:rFonts w:ascii="宋体" w:hAnsi="宋体" w:eastAsia="宋体" w:cs="Times New Roman"/>
          <w:b/>
          <w:bCs/>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合同一方不履行合同义务或违反履行合同义务约定的，应当承担继续履行、采取补救措施或者赔偿损失等违约责任。</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rPr>
        <w:t xml:space="preserve">在合同生效后，甲方无故拒绝乙方，应向乙方偿付合同总金额的5%，作为违约金，违约金不足以补偿损失的，乙方有权要求甲方补足。</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rPr>
        <w:t xml:space="preserve">甲方逾期付款应按照逾期付款金额的每日万分之四支付逾期付款违约金，甲方逾期付款超过十五天乙方有权要求甲方另行补偿乙方损失。</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七、不可抗力</w:t>
      </w:r>
      <w:r>
        <w:rPr>
          <w:rFonts w:ascii="宋体" w:hAnsi="宋体" w:eastAsia="宋体" w:cs="Times New Roman"/>
          <w:b/>
          <w:bCs/>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因不可抗力（或甲、乙双方不能控制的原因）不能履行合同的，根据不可抗力的影响，部分或者全部免除责任，但合同一方迟延履行后发生不可抗力的，不能免除其责任。</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rPr>
        <w:t xml:space="preserve">合同一方因不可抗力不能履行合同的，应当及时通知对方，以减轻可能给对方造成的损失，并应当在合理期限内提供证明。</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八</w:t>
      </w:r>
      <w:r>
        <w:rPr>
          <w:rFonts w:hint="eastAsia" w:ascii="宋体" w:hAnsi="宋体" w:eastAsia="宋体" w:cs="Times New Roman"/>
          <w:b/>
          <w:bCs/>
          <w:color w:val="000000"/>
          <w:sz w:val="24"/>
          <w:highlight w:val="none"/>
        </w:rPr>
        <w:t xml:space="preserve">、合同的解除和转让</w:t>
      </w:r>
      <w:r>
        <w:rPr>
          <w:rFonts w:ascii="宋体" w:hAnsi="宋体" w:eastAsia="宋体" w:cs="Times New Roman"/>
          <w:b/>
          <w:bCs/>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甲方和乙方协商一致，可以解除合同。</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rPr>
        <w:t xml:space="preserve">有下列情况之一，合同方可以解除合同：</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①因不可抗力致使不能实现合同目的，未受不可抗力影响的一方有权解除合同；</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②因合同一方违约导致合同不能履行，另一方有权解除合同</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1070"/>
        <w:ind w:firstLine="480"/>
        <w:keepLines w:val="0"/>
        <w:keepNext w:val="0"/>
        <w:pageBreakBefore w:val="0"/>
        <w:spacing w:line="540" w:lineRule="exact"/>
        <w:widowControl w:val="off"/>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③运营期内考核结果连续2个季度或全年累计有3个季度低于60分的，甲方有权终止合同。</w:t>
      </w:r>
      <w:r>
        <w:rPr>
          <w:rFonts w:ascii="宋体" w:hAnsi="宋体" w:eastAsia="宋体" w:cs="Times New Roman"/>
          <w:b/>
          <w:bCs/>
          <w:color w:val="000000"/>
          <w:sz w:val="24"/>
          <w:highlight w:val="none"/>
          <w:lang w:val="en-US" w:eastAsia="zh-CN"/>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rPr>
        <w:t xml:space="preserve">有权解除合同的一方，应当在违约事实或不可抗力发生之后30天内书面通知对方提出解除合同，合同在书面通知到达对方时解除。</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4.</w:t>
      </w:r>
      <w:r>
        <w:rPr>
          <w:rFonts w:hint="eastAsia" w:ascii="宋体" w:hAnsi="宋体" w:eastAsia="宋体" w:cs="Times New Roman"/>
          <w:color w:val="000000"/>
          <w:sz w:val="24"/>
          <w:highlight w:val="none"/>
        </w:rPr>
        <w:t xml:space="preserve">合同的部分或全部都不得转包或分包。</w:t>
      </w:r>
      <w:r>
        <w:rPr>
          <w:rFonts w:hint="eastAsia"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5.本合同终止时，甲方应积极按规定方式选择新的服务商，同时，双方应继续履行本合同项下的服务及付费义务；乙方应积极配合做好移交工作至新服务商到场。若因乙方原因导致合同终止，乙方须赔偿相应损失，具体由双方协商处理。</w:t>
      </w:r>
      <w:r>
        <w:rPr>
          <w:rFonts w:hint="eastAsia" w:ascii="宋体" w:hAnsi="宋体" w:eastAsia="宋体" w:cs="Times New Roman"/>
          <w:b/>
          <w:bCs/>
          <w:color w:val="000000"/>
          <w:sz w:val="24"/>
          <w:highlight w:val="none"/>
          <w:lang w:val="en-US" w:eastAsia="zh-CN"/>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b/>
          <w:bCs/>
          <w:color w:val="000000"/>
          <w:sz w:val="24"/>
          <w:highlight w:val="none"/>
          <w:lang w:val="en-US" w:eastAsia="zh-CN"/>
        </w:rPr>
        <w:t xml:space="preserve">九</w:t>
      </w: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合同生效及其它：</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生效：本合同自双方签字盖章之日起成立，并依法生效。</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rPr>
        <w:t xml:space="preserve">下列文件均为本合同不可分割的部分：</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合同书及补充协议，</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rPr>
        <w:t xml:space="preserve">中标通知书，</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rPr>
        <w:t xml:space="preserve">询标纪要</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如有</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4）</w:t>
      </w:r>
      <w:r>
        <w:rPr>
          <w:rFonts w:hint="eastAsia" w:ascii="宋体" w:hAnsi="宋体" w:eastAsia="宋体" w:cs="Times New Roman"/>
          <w:color w:val="000000"/>
          <w:sz w:val="24"/>
          <w:highlight w:val="none"/>
        </w:rPr>
        <w:t xml:space="preserve">甲乙双方签署的文件、电传、协商纪要等文件，</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5）</w:t>
      </w:r>
      <w:r>
        <w:rPr>
          <w:rFonts w:hint="eastAsia" w:ascii="宋体" w:hAnsi="宋体" w:eastAsia="宋体" w:cs="Times New Roman"/>
          <w:color w:val="000000"/>
          <w:sz w:val="24"/>
          <w:highlight w:val="none"/>
        </w:rPr>
        <w:t xml:space="preserve">采购文件及其补充文件，</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6）</w:t>
      </w:r>
      <w:r>
        <w:rPr>
          <w:rFonts w:hint="eastAsia" w:ascii="宋体" w:hAnsi="宋体" w:eastAsia="宋体" w:cs="Times New Roman"/>
          <w:color w:val="000000"/>
          <w:sz w:val="24"/>
          <w:highlight w:val="none"/>
        </w:rPr>
        <w:t xml:space="preserve">投标文件及其补充文件。</w:t>
      </w:r>
      <w:r>
        <w:rPr>
          <w:rFonts w:ascii="宋体" w:hAnsi="宋体" w:eastAsia="宋体" w:cs="Times New Roman"/>
          <w:color w:val="000000"/>
          <w:sz w:val="24"/>
          <w:highlight w:val="none"/>
        </w:rPr>
      </w:r>
      <w:r/>
    </w:p>
    <w:p>
      <w:pPr>
        <w:pStyle w:val="1070"/>
        <w:ind w:firstLine="480"/>
        <w:keepLines w:val="0"/>
        <w:keepNext w:val="0"/>
        <w:pageBreakBefore w:val="0"/>
        <w:spacing w:line="5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十、合同份数：本合同一式五份，甲乙双方各执二份，送代理机构备案一份。</w:t>
      </w:r>
      <w:r>
        <w:rPr>
          <w:rFonts w:hint="eastAsia" w:ascii="宋体" w:hAnsi="宋体" w:eastAsia="宋体" w:cs="Times New Roman"/>
          <w:color w:val="000000"/>
          <w:sz w:val="24"/>
          <w:highlight w:val="none"/>
        </w:rPr>
      </w:r>
      <w:r/>
    </w:p>
    <w:tbl>
      <w:tblPr>
        <w:tblW w:w="85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5"/>
        <w:gridCol w:w="4276"/>
      </w:tblGrid>
      <w:tr>
        <w:trPr>
          <w:trHeight w:val="435"/>
        </w:trPr>
        <w:tc>
          <w:tcPr>
            <w:tcW w:w="4275"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甲方（盖章）：</w:t>
            </w:r>
            <w:r>
              <w:rPr>
                <w:rFonts w:ascii="宋体" w:hAnsi="宋体" w:eastAsia="宋体" w:cs="Times New Roman"/>
                <w:color w:val="000000"/>
                <w:sz w:val="24"/>
                <w:highlight w:val="none"/>
              </w:rPr>
            </w:r>
            <w:r/>
          </w:p>
        </w:tc>
        <w:tc>
          <w:tcPr>
            <w:tcW w:w="4276"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乙方（盖章）：</w:t>
            </w:r>
            <w:r>
              <w:rPr>
                <w:rFonts w:ascii="宋体" w:hAnsi="宋体" w:eastAsia="宋体" w:cs="Times New Roman"/>
                <w:color w:val="000000"/>
                <w:sz w:val="24"/>
                <w:highlight w:val="none"/>
              </w:rPr>
            </w:r>
            <w:r/>
          </w:p>
        </w:tc>
      </w:tr>
      <w:tr>
        <w:trPr>
          <w:trHeight w:val="503"/>
        </w:trPr>
        <w:tc>
          <w:tcPr>
            <w:tcW w:w="4275"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开户行：</w:t>
            </w:r>
            <w:r>
              <w:rPr>
                <w:rFonts w:ascii="宋体" w:hAnsi="宋体" w:eastAsia="宋体" w:cs="Times New Roman"/>
                <w:color w:val="000000"/>
                <w:sz w:val="24"/>
                <w:highlight w:val="none"/>
              </w:rPr>
            </w:r>
            <w:r/>
          </w:p>
        </w:tc>
        <w:tc>
          <w:tcPr>
            <w:tcW w:w="4276"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开户行：              </w:t>
            </w:r>
            <w:r>
              <w:rPr>
                <w:rFonts w:ascii="宋体" w:hAnsi="宋体" w:eastAsia="宋体" w:cs="Times New Roman"/>
                <w:color w:val="000000"/>
                <w:sz w:val="24"/>
                <w:highlight w:val="none"/>
              </w:rPr>
            </w:r>
            <w:r/>
          </w:p>
        </w:tc>
      </w:tr>
      <w:tr>
        <w:trPr>
          <w:trHeight w:val="503"/>
        </w:trPr>
        <w:tc>
          <w:tcPr>
            <w:tcW w:w="4275"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账号：</w:t>
            </w:r>
            <w:r>
              <w:rPr>
                <w:rFonts w:ascii="宋体" w:hAnsi="宋体" w:eastAsia="宋体" w:cs="Times New Roman"/>
                <w:color w:val="000000"/>
                <w:sz w:val="24"/>
                <w:highlight w:val="none"/>
              </w:rPr>
            </w:r>
            <w:r/>
          </w:p>
        </w:tc>
        <w:tc>
          <w:tcPr>
            <w:tcW w:w="4276"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账号：</w:t>
            </w:r>
            <w:r>
              <w:rPr>
                <w:rFonts w:ascii="宋体" w:hAnsi="宋体" w:eastAsia="宋体" w:cs="Times New Roman"/>
                <w:color w:val="000000"/>
                <w:sz w:val="24"/>
                <w:highlight w:val="none"/>
              </w:rPr>
            </w:r>
            <w:r/>
          </w:p>
        </w:tc>
      </w:tr>
      <w:tr>
        <w:trPr>
          <w:trHeight w:val="503"/>
        </w:trPr>
        <w:tc>
          <w:tcPr>
            <w:tcW w:w="4275"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税号：</w:t>
            </w:r>
            <w:r>
              <w:rPr>
                <w:rFonts w:ascii="宋体" w:hAnsi="宋体" w:eastAsia="宋体" w:cs="Times New Roman"/>
                <w:color w:val="000000"/>
                <w:sz w:val="24"/>
                <w:highlight w:val="none"/>
              </w:rPr>
            </w:r>
            <w:r/>
          </w:p>
        </w:tc>
        <w:tc>
          <w:tcPr>
            <w:tcW w:w="4276"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税号：</w:t>
            </w:r>
            <w:r>
              <w:rPr>
                <w:rFonts w:ascii="宋体" w:hAnsi="宋体" w:eastAsia="宋体" w:cs="Times New Roman"/>
                <w:color w:val="000000"/>
                <w:sz w:val="24"/>
                <w:highlight w:val="none"/>
              </w:rPr>
            </w:r>
            <w:r/>
          </w:p>
        </w:tc>
      </w:tr>
      <w:tr>
        <w:trPr>
          <w:trHeight w:val="503"/>
        </w:trPr>
        <w:tc>
          <w:tcPr>
            <w:tcW w:w="4275"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签字</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w:t>
            </w:r>
            <w:r>
              <w:rPr>
                <w:rFonts w:ascii="宋体" w:hAnsi="宋体" w:eastAsia="宋体" w:cs="Times New Roman"/>
                <w:color w:val="000000"/>
                <w:sz w:val="24"/>
                <w:highlight w:val="none"/>
              </w:rPr>
            </w:r>
            <w:r/>
          </w:p>
        </w:tc>
        <w:tc>
          <w:tcPr>
            <w:tcW w:w="4276"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签字</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w:t>
            </w:r>
            <w:r>
              <w:rPr>
                <w:rFonts w:ascii="宋体" w:hAnsi="宋体" w:eastAsia="宋体" w:cs="Times New Roman"/>
                <w:color w:val="000000"/>
                <w:sz w:val="24"/>
                <w:highlight w:val="none"/>
              </w:rPr>
            </w:r>
            <w:r/>
          </w:p>
        </w:tc>
      </w:tr>
      <w:tr>
        <w:trPr>
          <w:trHeight w:val="503"/>
        </w:trPr>
        <w:tc>
          <w:tcPr>
            <w:tcW w:w="4275"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委托代理人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签字</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w:t>
            </w:r>
            <w:r>
              <w:rPr>
                <w:rFonts w:ascii="宋体" w:hAnsi="宋体" w:eastAsia="宋体" w:cs="Times New Roman"/>
                <w:color w:val="000000"/>
                <w:sz w:val="24"/>
                <w:highlight w:val="none"/>
              </w:rPr>
            </w:r>
            <w:r/>
          </w:p>
        </w:tc>
        <w:tc>
          <w:tcPr>
            <w:tcW w:w="4276"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委托代理人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签字</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w:t>
            </w:r>
            <w:r>
              <w:rPr>
                <w:rFonts w:ascii="宋体" w:hAnsi="宋体" w:eastAsia="宋体" w:cs="Times New Roman"/>
                <w:color w:val="000000"/>
                <w:sz w:val="24"/>
                <w:highlight w:val="none"/>
              </w:rPr>
            </w:r>
            <w:r/>
          </w:p>
        </w:tc>
      </w:tr>
      <w:tr>
        <w:trPr>
          <w:trHeight w:val="503"/>
        </w:trPr>
        <w:tc>
          <w:tcPr>
            <w:tcW w:w="4275"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电话：</w:t>
            </w:r>
            <w:r>
              <w:rPr>
                <w:rFonts w:ascii="宋体" w:hAnsi="宋体" w:eastAsia="宋体" w:cs="Times New Roman"/>
                <w:color w:val="000000"/>
                <w:sz w:val="24"/>
                <w:highlight w:val="none"/>
              </w:rPr>
            </w:r>
            <w:r/>
          </w:p>
        </w:tc>
        <w:tc>
          <w:tcPr>
            <w:tcW w:w="4276"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电话：</w:t>
            </w:r>
            <w:r>
              <w:rPr>
                <w:rFonts w:ascii="宋体" w:hAnsi="宋体" w:eastAsia="宋体" w:cs="Times New Roman"/>
                <w:color w:val="000000"/>
                <w:sz w:val="24"/>
                <w:highlight w:val="none"/>
              </w:rPr>
            </w:r>
            <w:r/>
          </w:p>
        </w:tc>
      </w:tr>
      <w:tr>
        <w:trPr>
          <w:trHeight w:val="503"/>
        </w:trPr>
        <w:tc>
          <w:tcPr>
            <w:tcW w:w="4275"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传真：</w:t>
            </w:r>
            <w:r>
              <w:rPr>
                <w:rFonts w:ascii="宋体" w:hAnsi="宋体" w:eastAsia="宋体" w:cs="Times New Roman"/>
                <w:color w:val="000000"/>
                <w:sz w:val="24"/>
                <w:highlight w:val="none"/>
              </w:rPr>
            </w:r>
            <w:r/>
          </w:p>
        </w:tc>
        <w:tc>
          <w:tcPr>
            <w:tcW w:w="4276"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传真：</w:t>
            </w:r>
            <w:r>
              <w:rPr>
                <w:rFonts w:ascii="宋体" w:hAnsi="宋体" w:eastAsia="宋体" w:cs="Times New Roman"/>
                <w:color w:val="000000"/>
                <w:sz w:val="24"/>
                <w:highlight w:val="none"/>
              </w:rPr>
            </w:r>
            <w:r/>
          </w:p>
        </w:tc>
      </w:tr>
      <w:tr>
        <w:trPr>
          <w:trHeight w:val="503"/>
        </w:trPr>
        <w:tc>
          <w:tcPr>
            <w:tcW w:w="4275"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邮编：</w:t>
            </w:r>
            <w:r>
              <w:rPr>
                <w:rFonts w:ascii="宋体" w:hAnsi="宋体" w:eastAsia="宋体" w:cs="Times New Roman"/>
                <w:color w:val="000000"/>
                <w:sz w:val="24"/>
                <w:highlight w:val="none"/>
              </w:rPr>
            </w:r>
            <w:r/>
          </w:p>
        </w:tc>
        <w:tc>
          <w:tcPr>
            <w:tcW w:w="4276"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邮编：</w:t>
            </w:r>
            <w:r>
              <w:rPr>
                <w:rFonts w:ascii="宋体" w:hAnsi="宋体" w:eastAsia="宋体" w:cs="Times New Roman"/>
                <w:color w:val="000000"/>
                <w:sz w:val="24"/>
                <w:highlight w:val="none"/>
              </w:rPr>
            </w:r>
            <w:r/>
          </w:p>
        </w:tc>
      </w:tr>
      <w:tr>
        <w:trPr>
          <w:trHeight w:val="503"/>
        </w:trPr>
        <w:tc>
          <w:tcPr>
            <w:tcW w:w="4275"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地址： </w:t>
            </w:r>
            <w:r>
              <w:rPr>
                <w:rFonts w:ascii="宋体" w:hAnsi="宋体" w:eastAsia="宋体" w:cs="Times New Roman"/>
                <w:color w:val="000000"/>
                <w:sz w:val="24"/>
                <w:highlight w:val="none"/>
              </w:rPr>
            </w:r>
            <w:r/>
          </w:p>
        </w:tc>
        <w:tc>
          <w:tcPr>
            <w:tcW w:w="4276" w:type="dxa"/>
            <w:vAlign w:val="bottom"/>
            <w:textDirection w:val="lrTb"/>
            <w:noWrap w:val="false"/>
          </w:tcPr>
          <w:p>
            <w:pPr>
              <w:pStyle w:val="107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地址： </w:t>
            </w:r>
            <w:r>
              <w:rPr>
                <w:rFonts w:ascii="宋体" w:hAnsi="宋体" w:eastAsia="宋体" w:cs="Times New Roman"/>
                <w:color w:val="000000"/>
                <w:sz w:val="24"/>
                <w:highlight w:val="none"/>
              </w:rPr>
            </w:r>
            <w:r/>
          </w:p>
        </w:tc>
      </w:tr>
    </w:tbl>
    <w:p>
      <w:pPr>
        <w:pStyle w:val="1070"/>
        <w:jc w:val="center"/>
        <w:spacing w:line="360" w:lineRule="auto"/>
        <w:rPr>
          <w:b/>
          <w:sz w:val="36"/>
          <w:szCs w:val="36"/>
          <w:highlight w:val="none"/>
        </w:rPr>
        <w:outlineLvl w:val="0"/>
      </w:pPr>
      <w:r>
        <w:rPr>
          <w:b/>
          <w:sz w:val="36"/>
          <w:szCs w:val="36"/>
          <w:highlight w:val="none"/>
        </w:rPr>
      </w:r>
      <w:r/>
    </w:p>
    <w:p>
      <w:pPr>
        <w:pStyle w:val="1070"/>
        <w:jc w:val="center"/>
        <w:spacing w:line="360" w:lineRule="auto"/>
        <w:rPr>
          <w:b/>
          <w:sz w:val="36"/>
          <w:szCs w:val="36"/>
        </w:rPr>
        <w:outlineLvl w:val="0"/>
      </w:pPr>
      <w:r>
        <w:rPr>
          <w:b/>
          <w:sz w:val="36"/>
          <w:szCs w:val="36"/>
        </w:rPr>
      </w:r>
      <w:r/>
    </w:p>
    <w:p>
      <w:pPr>
        <w:pStyle w:val="1070"/>
        <w:jc w:val="center"/>
        <w:spacing w:line="360" w:lineRule="auto"/>
        <w:rPr>
          <w:b/>
          <w:sz w:val="36"/>
          <w:szCs w:val="36"/>
        </w:rPr>
        <w:outlineLvl w:val="0"/>
      </w:pPr>
      <w:r>
        <w:rPr>
          <w:b/>
          <w:sz w:val="36"/>
          <w:szCs w:val="36"/>
        </w:rPr>
      </w:r>
      <w:r/>
    </w:p>
    <w:p>
      <w:pPr>
        <w:pStyle w:val="1070"/>
        <w:jc w:val="center"/>
        <w:spacing w:line="360" w:lineRule="auto"/>
        <w:rPr>
          <w:b/>
          <w:sz w:val="36"/>
          <w:szCs w:val="36"/>
        </w:rPr>
        <w:outlineLvl w:val="0"/>
      </w:pPr>
      <w:r>
        <w:rPr>
          <w:b/>
          <w:sz w:val="36"/>
          <w:szCs w:val="36"/>
        </w:rPr>
      </w:r>
      <w:r/>
    </w:p>
    <w:p>
      <w:pPr>
        <w:pStyle w:val="1070"/>
        <w:jc w:val="both"/>
        <w:spacing w:line="360" w:lineRule="auto"/>
        <w:rPr>
          <w:rFonts w:hint="eastAsia" w:ascii="宋体" w:hAnsi="宋体" w:eastAsia="宋体" w:cs="Times New Roman"/>
          <w:b/>
          <w:sz w:val="24"/>
          <w:highlight w:val="none"/>
          <w:lang w:val="en-US" w:eastAsia="zh-CN"/>
        </w:rPr>
        <w:outlineLvl w:val="0"/>
      </w:pPr>
      <w:r>
        <w:rPr>
          <w:rFonts w:hint="eastAsia" w:ascii="宋体" w:hAnsi="宋体" w:eastAsia="宋体" w:cs="Times New Roman"/>
          <w:b/>
          <w:sz w:val="24"/>
          <w:highlight w:val="none"/>
          <w:lang w:val="en-US" w:eastAsia="zh-CN"/>
        </w:rPr>
      </w:r>
      <w:r/>
    </w:p>
    <w:p>
      <w:pPr>
        <w:pStyle w:val="1070"/>
        <w:jc w:val="both"/>
        <w:spacing w:line="360" w:lineRule="auto"/>
        <w:rPr>
          <w:rFonts w:hint="eastAsia" w:ascii="宋体" w:hAnsi="宋体" w:eastAsia="宋体" w:cs="Times New Roman"/>
          <w:b/>
          <w:sz w:val="24"/>
          <w:highlight w:val="none"/>
          <w:lang w:val="en-US" w:eastAsia="zh-CN"/>
        </w:rPr>
        <w:outlineLvl w:val="0"/>
      </w:pPr>
      <w:r>
        <w:rPr>
          <w:rFonts w:hint="eastAsia" w:ascii="宋体" w:hAnsi="宋体" w:eastAsia="宋体" w:cs="Times New Roman"/>
          <w:b/>
          <w:sz w:val="24"/>
          <w:highlight w:val="none"/>
          <w:lang w:val="en-US" w:eastAsia="zh-CN"/>
        </w:rPr>
      </w:r>
      <w:r/>
    </w:p>
    <w:p>
      <w:pPr>
        <w:pStyle w:val="1070"/>
        <w:jc w:val="both"/>
        <w:spacing w:line="360" w:lineRule="auto"/>
        <w:rPr>
          <w:rFonts w:hint="eastAsia" w:ascii="宋体" w:hAnsi="宋体" w:eastAsia="宋体" w:cs="Times New Roman"/>
          <w:b/>
          <w:sz w:val="24"/>
          <w:highlight w:val="none"/>
          <w:lang w:val="en-US" w:eastAsia="zh-CN"/>
        </w:rPr>
        <w:outlineLvl w:val="0"/>
      </w:pPr>
      <w:r>
        <w:rPr>
          <w:rFonts w:hint="eastAsia" w:ascii="宋体" w:hAnsi="宋体" w:eastAsia="宋体" w:cs="Times New Roman"/>
          <w:b/>
          <w:sz w:val="24"/>
          <w:highlight w:val="none"/>
          <w:lang w:val="en-US" w:eastAsia="zh-CN"/>
        </w:rPr>
      </w:r>
      <w:r/>
    </w:p>
    <w:p>
      <w:pPr>
        <w:pStyle w:val="1070"/>
        <w:jc w:val="both"/>
        <w:spacing w:line="360" w:lineRule="auto"/>
        <w:rPr>
          <w:rFonts w:hint="eastAsia" w:ascii="宋体" w:hAnsi="宋体" w:eastAsia="宋体" w:cs="Times New Roman"/>
          <w:b/>
          <w:sz w:val="24"/>
          <w:highlight w:val="none"/>
          <w:lang w:val="en-US" w:eastAsia="zh-CN"/>
        </w:rPr>
        <w:outlineLvl w:val="0"/>
      </w:pPr>
      <w:r>
        <w:rPr>
          <w:rFonts w:hint="eastAsia" w:ascii="宋体" w:hAnsi="宋体" w:eastAsia="宋体" w:cs="Times New Roman"/>
          <w:b/>
          <w:sz w:val="24"/>
          <w:highlight w:val="none"/>
          <w:lang w:val="en-US" w:eastAsia="zh-CN"/>
        </w:rPr>
      </w:r>
      <w:r/>
    </w:p>
    <w:p>
      <w:pPr>
        <w:pStyle w:val="1070"/>
        <w:jc w:val="both"/>
        <w:spacing w:line="360" w:lineRule="auto"/>
        <w:rPr>
          <w:rFonts w:hint="eastAsia" w:ascii="宋体" w:hAnsi="宋体" w:eastAsia="宋体" w:cs="Times New Roman"/>
          <w:b/>
          <w:sz w:val="24"/>
          <w:highlight w:val="none"/>
          <w:lang w:val="en-US" w:eastAsia="zh-CN"/>
        </w:rPr>
        <w:outlineLvl w:val="0"/>
      </w:pPr>
      <w:r>
        <w:rPr>
          <w:rFonts w:hint="eastAsia" w:ascii="宋体" w:hAnsi="宋体" w:eastAsia="宋体" w:cs="Times New Roman"/>
          <w:b/>
          <w:sz w:val="24"/>
          <w:highlight w:val="none"/>
          <w:lang w:val="en-US" w:eastAsia="zh-CN"/>
        </w:rPr>
      </w:r>
      <w:r/>
    </w:p>
    <w:p>
      <w:pPr>
        <w:pStyle w:val="1070"/>
        <w:jc w:val="both"/>
        <w:spacing w:line="360" w:lineRule="auto"/>
        <w:rPr>
          <w:rFonts w:hint="eastAsia" w:ascii="宋体" w:hAnsi="宋体" w:eastAsia="宋体" w:cs="Times New Roman"/>
          <w:b/>
          <w:sz w:val="24"/>
          <w:highlight w:val="none"/>
          <w:lang w:val="en-US" w:eastAsia="zh-CN"/>
        </w:rPr>
        <w:outlineLvl w:val="0"/>
      </w:pPr>
      <w:r>
        <w:rPr>
          <w:rFonts w:hint="eastAsia" w:ascii="宋体" w:hAnsi="宋体" w:eastAsia="宋体" w:cs="Times New Roman"/>
          <w:b/>
          <w:sz w:val="24"/>
          <w:highlight w:val="none"/>
          <w:lang w:val="en-US" w:eastAsia="zh-CN"/>
        </w:rPr>
      </w:r>
      <w:r/>
    </w:p>
    <w:p>
      <w:pPr>
        <w:pStyle w:val="1070"/>
        <w:ind w:left="0" w:firstLine="0"/>
        <w:jc w:val="both"/>
        <w:spacing w:line="360" w:lineRule="auto"/>
        <w:widowControl/>
        <w:rPr>
          <w:rFonts w:hint="eastAsia" w:ascii="宋体" w:hAnsi="宋体" w:eastAsia="宋体" w:cs="Times New Roman"/>
          <w:b/>
          <w:sz w:val="24"/>
          <w:highlight w:val="none"/>
          <w:lang w:val="en-US" w:eastAsia="zh-CN"/>
        </w:rPr>
      </w:pPr>
      <w:r>
        <w:rPr>
          <w:rFonts w:hint="eastAsia" w:ascii="宋体" w:hAnsi="宋体" w:eastAsia="宋体" w:cs="Times New Roman"/>
          <w:b/>
          <w:sz w:val="24"/>
          <w:highlight w:val="none"/>
          <w:lang w:val="en-US" w:eastAsia="zh-CN"/>
        </w:rPr>
      </w:r>
      <w:r/>
    </w:p>
    <w:p>
      <w:pPr>
        <w:pStyle w:val="1070"/>
        <w:ind w:left="0" w:firstLine="0"/>
        <w:jc w:val="both"/>
        <w:spacing w:line="360" w:lineRule="auto"/>
        <w:widowControl/>
        <w:rPr>
          <w:rFonts w:hint="eastAsia" w:ascii="宋体" w:hAnsi="宋体" w:eastAsia="宋体" w:cs="Times New Roman"/>
          <w:b/>
          <w:sz w:val="24"/>
          <w:highlight w:val="none"/>
          <w:lang w:val="en-US" w:eastAsia="zh-CN"/>
        </w:rPr>
      </w:pPr>
      <w:r>
        <w:rPr>
          <w:rFonts w:hint="eastAsia" w:ascii="宋体" w:hAnsi="宋体" w:eastAsia="宋体" w:cs="Times New Roman"/>
          <w:b/>
          <w:sz w:val="24"/>
          <w:highlight w:val="none"/>
          <w:lang w:val="en-US" w:eastAsia="zh-CN"/>
        </w:rPr>
      </w:r>
      <w:r/>
    </w:p>
    <w:p>
      <w:pPr>
        <w:pStyle w:val="1070"/>
        <w:ind w:left="0" w:firstLine="0"/>
        <w:jc w:val="both"/>
        <w:spacing w:line="360" w:lineRule="auto"/>
        <w:widowControl/>
        <w:rPr>
          <w:rFonts w:hint="eastAsia" w:ascii="宋体" w:hAnsi="宋体" w:eastAsia="宋体" w:cs="Times New Roman"/>
          <w:b/>
          <w:sz w:val="24"/>
          <w:highlight w:val="none"/>
          <w:lang w:val="en-US" w:eastAsia="zh-CN"/>
        </w:rPr>
      </w:pPr>
      <w:r>
        <w:rPr>
          <w:rFonts w:hint="eastAsia" w:ascii="宋体" w:hAnsi="宋体" w:eastAsia="宋体" w:cs="Times New Roman"/>
          <w:b/>
          <w:sz w:val="24"/>
          <w:highlight w:val="none"/>
          <w:lang w:val="en-US" w:eastAsia="zh-CN"/>
        </w:rPr>
      </w:r>
      <w:r/>
    </w:p>
    <w:p>
      <w:pPr>
        <w:pStyle w:val="1070"/>
        <w:ind w:left="0" w:firstLine="0"/>
        <w:jc w:val="both"/>
        <w:spacing w:line="360" w:lineRule="auto"/>
        <w:widowControl/>
        <w:rPr>
          <w:rFonts w:hint="eastAsia" w:ascii="宋体" w:hAnsi="宋体" w:eastAsia="宋体" w:cs="Times New Roman"/>
          <w:b/>
          <w:sz w:val="24"/>
          <w:highlight w:val="none"/>
          <w:lang w:val="en-US" w:eastAsia="zh-CN"/>
        </w:rPr>
      </w:pPr>
      <w:r>
        <w:rPr>
          <w:rFonts w:hint="eastAsia" w:ascii="宋体" w:hAnsi="宋体" w:eastAsia="宋体" w:cs="Times New Roman"/>
          <w:b/>
          <w:sz w:val="24"/>
          <w:highlight w:val="none"/>
          <w:lang w:val="en-US" w:eastAsia="zh-CN"/>
        </w:rPr>
      </w:r>
      <w:r/>
    </w:p>
    <w:p>
      <w:pPr>
        <w:pStyle w:val="1070"/>
        <w:ind w:left="0" w:firstLine="0"/>
        <w:jc w:val="both"/>
        <w:spacing w:line="360" w:lineRule="auto"/>
        <w:widowControl/>
        <w:rPr>
          <w:rFonts w:hint="eastAsia" w:ascii="宋体" w:hAnsi="宋体" w:eastAsia="宋体" w:cs="Times New Roman"/>
          <w:b/>
          <w:sz w:val="24"/>
          <w:highlight w:val="none"/>
          <w:lang w:val="en-US" w:eastAsia="zh-CN"/>
        </w:rPr>
      </w:pPr>
      <w:r>
        <w:rPr>
          <w:rFonts w:hint="eastAsia" w:ascii="宋体" w:hAnsi="宋体" w:eastAsia="宋体" w:cs="Times New Roman"/>
          <w:b/>
          <w:sz w:val="24"/>
          <w:highlight w:val="none"/>
          <w:lang w:val="en-US" w:eastAsia="zh-CN"/>
        </w:rPr>
      </w:r>
      <w:r/>
    </w:p>
    <w:p>
      <w:pPr>
        <w:pStyle w:val="1070"/>
        <w:ind w:left="0" w:firstLine="0"/>
        <w:jc w:val="both"/>
        <w:spacing w:line="360" w:lineRule="auto"/>
        <w:widowControl/>
        <w:rPr>
          <w:rFonts w:hint="eastAsia" w:ascii="宋体" w:hAnsi="宋体" w:eastAsia="宋体" w:cs="Times New Roman"/>
          <w:b/>
          <w:sz w:val="24"/>
          <w:highlight w:val="none"/>
          <w:lang w:val="en-US" w:eastAsia="zh-CN"/>
        </w:rPr>
      </w:pPr>
      <w:r>
        <w:rPr>
          <w:rFonts w:hint="eastAsia" w:ascii="宋体" w:hAnsi="宋体" w:eastAsia="宋体" w:cs="Times New Roman"/>
          <w:b/>
          <w:sz w:val="24"/>
          <w:highlight w:val="none"/>
          <w:lang w:val="en-US" w:eastAsia="zh-CN"/>
        </w:rPr>
      </w:r>
      <w:r/>
    </w:p>
    <w:p>
      <w:pPr>
        <w:pStyle w:val="1070"/>
        <w:ind w:left="0" w:firstLine="0"/>
        <w:jc w:val="both"/>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Times New Roman"/>
          <w:b/>
          <w:sz w:val="24"/>
          <w:highlight w:val="none"/>
          <w:lang w:val="en-US" w:eastAsia="zh-CN"/>
        </w:rPr>
        <w:t xml:space="preserve">附件1：</w:t>
      </w:r>
      <w:r>
        <w:rPr>
          <w:rFonts w:hint="eastAsia" w:ascii="宋体" w:hAnsi="宋体" w:eastAsia="宋体" w:cs="宋体"/>
          <w:color w:val="000000"/>
          <w:sz w:val="28"/>
          <w:szCs w:val="28"/>
          <w:lang w:val="en-US" w:eastAsia="zh-CN"/>
        </w:rPr>
        <w:t xml:space="preserve">社渚镇环卫综合处理中心运营标准及考核评分细则</w:t>
      </w:r>
      <w:r>
        <w:rPr>
          <w:rFonts w:hint="eastAsia" w:ascii="宋体" w:hAnsi="宋体" w:eastAsia="宋体" w:cs="宋体"/>
          <w:color w:val="ff0000"/>
          <w:sz w:val="21"/>
          <w:szCs w:val="21"/>
          <w:lang w:val="en-US" w:eastAsia="zh-CN"/>
        </w:rPr>
      </w:r>
      <w:r/>
    </w:p>
    <w:tbl>
      <w:tblPr>
        <w:tblStyle w:val="1140"/>
        <w:tblW w:w="9632" w:type="dxa"/>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4143"/>
        <w:gridCol w:w="696"/>
        <w:gridCol w:w="684"/>
        <w:gridCol w:w="3001"/>
      </w:tblGrid>
      <w:tr>
        <w:trPr/>
        <w:tc>
          <w:tcPr>
            <w:tcW w:w="1108" w:type="dxa"/>
            <w:vAlign w:val="center"/>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b/>
                <w:bCs/>
                <w:szCs w:val="22"/>
                <w:vertAlign w:val="baseline"/>
              </w:rPr>
              <w:suppressLineNumbers w:val="0"/>
            </w:pPr>
            <w:r>
              <w:rPr>
                <w:rFonts w:hint="eastAsia" w:ascii="宋体" w:hAnsi="宋体" w:eastAsia="宋体" w:cs="宋体"/>
                <w:b/>
                <w:bCs/>
                <w:sz w:val="21"/>
                <w:szCs w:val="21"/>
                <w:lang w:val="en-US" w:eastAsia="zh-CN" w:bidi="ar-SA"/>
              </w:rPr>
              <w:t xml:space="preserve">指标类别</w:t>
            </w:r>
            <w:r>
              <w:rPr>
                <w:rFonts w:ascii="Calibri" w:hAnsi="Calibri" w:eastAsia="宋体" w:cs="Times New Roman"/>
                <w:b/>
                <w:bCs/>
                <w:szCs w:val="22"/>
                <w:vertAlign w:val="baseline"/>
              </w:rPr>
            </w:r>
            <w:r/>
          </w:p>
        </w:tc>
        <w:tc>
          <w:tcPr>
            <w:tcW w:w="4143" w:type="dxa"/>
            <w:vAlign w:val="top"/>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b/>
                <w:bCs/>
                <w:szCs w:val="22"/>
                <w:vertAlign w:val="baseline"/>
              </w:rPr>
              <w:suppressLineNumbers w:val="0"/>
            </w:pPr>
            <w:r>
              <w:rPr>
                <w:rFonts w:hint="eastAsia" w:ascii="宋体" w:hAnsi="宋体" w:eastAsia="宋体" w:cs="宋体"/>
                <w:b/>
                <w:bCs/>
                <w:sz w:val="21"/>
                <w:szCs w:val="21"/>
                <w:lang w:val="en-US" w:eastAsia="zh-CN" w:bidi="ar-SA"/>
              </w:rPr>
              <w:t xml:space="preserve">指标要求</w:t>
            </w:r>
            <w:r>
              <w:rPr>
                <w:rFonts w:ascii="Calibri" w:hAnsi="Calibri" w:eastAsia="宋体" w:cs="Times New Roman"/>
                <w:b/>
                <w:bCs/>
                <w:szCs w:val="22"/>
                <w:vertAlign w:val="baseline"/>
              </w:rPr>
            </w:r>
            <w:r/>
          </w:p>
        </w:tc>
        <w:tc>
          <w:tcPr>
            <w:tcW w:w="696" w:type="dxa"/>
            <w:vAlign w:val="center"/>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b/>
                <w:bCs/>
                <w:szCs w:val="22"/>
                <w:vertAlign w:val="baseline"/>
              </w:rPr>
              <w:suppressLineNumbers w:val="0"/>
            </w:pPr>
            <w:r>
              <w:rPr>
                <w:rFonts w:hint="eastAsia" w:ascii="宋体" w:hAnsi="宋体" w:eastAsia="宋体" w:cs="宋体"/>
                <w:b/>
                <w:bCs/>
                <w:sz w:val="21"/>
                <w:szCs w:val="21"/>
                <w:lang w:val="en-US" w:eastAsia="zh-CN" w:bidi="ar-SA"/>
              </w:rPr>
              <w:t xml:space="preserve">权重</w:t>
            </w:r>
            <w:r>
              <w:rPr>
                <w:rFonts w:ascii="Calibri" w:hAnsi="Calibri" w:eastAsia="宋体" w:cs="Times New Roman"/>
                <w:b/>
                <w:bCs/>
                <w:szCs w:val="22"/>
                <w:vertAlign w:val="baseline"/>
              </w:rPr>
            </w:r>
            <w:r/>
          </w:p>
        </w:tc>
        <w:tc>
          <w:tcPr>
            <w:tcW w:w="684" w:type="dxa"/>
            <w:vAlign w:val="top"/>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b/>
                <w:bCs/>
                <w:szCs w:val="22"/>
                <w:vertAlign w:val="baseline"/>
              </w:rPr>
              <w:suppressLineNumbers w:val="0"/>
            </w:pPr>
            <w:r>
              <w:rPr>
                <w:rFonts w:hint="eastAsia" w:ascii="宋体" w:hAnsi="宋体" w:eastAsia="宋体" w:cs="宋体"/>
                <w:b/>
                <w:bCs/>
                <w:sz w:val="21"/>
                <w:szCs w:val="21"/>
                <w:lang w:val="en-US" w:eastAsia="zh-CN" w:bidi="ar-SA"/>
              </w:rPr>
              <w:t xml:space="preserve">得分</w:t>
            </w:r>
            <w:r>
              <w:rPr>
                <w:rFonts w:ascii="Calibri" w:hAnsi="Calibri" w:eastAsia="宋体" w:cs="Times New Roman"/>
                <w:b/>
                <w:bCs/>
                <w:szCs w:val="22"/>
                <w:vertAlign w:val="baseline"/>
              </w:rPr>
            </w:r>
            <w:r/>
          </w:p>
        </w:tc>
        <w:tc>
          <w:tcPr>
            <w:tcW w:w="3001" w:type="dxa"/>
            <w:vAlign w:val="center"/>
            <w:textDirection w:val="lrTb"/>
            <w:noWrap w:val="false"/>
          </w:tcPr>
          <w:p>
            <w:pPr>
              <w:pStyle w:val="1070"/>
              <w:ind w:left="0" w:right="0" w:firstLine="422"/>
              <w:jc w:val="center"/>
              <w:keepLines w:val="0"/>
              <w:keepNext w:val="0"/>
              <w:spacing w:before="0" w:beforeAutospacing="0" w:after="0" w:afterAutospacing="0"/>
              <w:widowControl/>
              <w:rPr>
                <w:rFonts w:ascii="Calibri" w:hAnsi="Calibri" w:eastAsia="宋体" w:cs="Times New Roman"/>
                <w:b/>
                <w:bCs/>
                <w:szCs w:val="22"/>
                <w:vertAlign w:val="baseline"/>
              </w:rPr>
              <w:suppressLineNumbers w:val="0"/>
            </w:pPr>
            <w:r>
              <w:rPr>
                <w:rFonts w:hint="eastAsia" w:ascii="宋体" w:hAnsi="宋体" w:eastAsia="宋体" w:cs="宋体"/>
                <w:b/>
                <w:bCs/>
                <w:sz w:val="21"/>
                <w:szCs w:val="21"/>
                <w:lang w:val="en-US" w:eastAsia="zh-CN" w:bidi="ar-SA"/>
              </w:rPr>
              <w:t xml:space="preserve">扣分依据</w:t>
            </w:r>
            <w:r>
              <w:rPr>
                <w:rFonts w:ascii="Calibri" w:hAnsi="Calibri" w:eastAsia="宋体" w:cs="Times New Roman"/>
                <w:b/>
                <w:bCs/>
                <w:szCs w:val="22"/>
                <w:vertAlign w:val="baseline"/>
              </w:rPr>
            </w:r>
            <w:r/>
          </w:p>
        </w:tc>
      </w:tr>
      <w:tr>
        <w:trPr/>
        <w:tc>
          <w:tcPr>
            <w:tcW w:w="1108" w:type="dxa"/>
            <w:vAlign w:val="center"/>
            <w:vMerge w:val="restart"/>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内部管理</w:t>
            </w: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建立完善的管理制度、有效落实，包括队伍建设、安全生产、检查考核、奖惩、作业规范应急预案等，并报实施机构备案。</w:t>
            </w:r>
            <w:r>
              <w:rPr>
                <w:rFonts w:ascii="Calibri" w:hAnsi="Calibri" w:eastAsia="宋体" w:cs="Times New Roman"/>
                <w:szCs w:val="22"/>
                <w:vertAlign w:val="baseline"/>
              </w:rPr>
            </w:r>
            <w:r/>
          </w:p>
        </w:tc>
        <w:tc>
          <w:tcPr>
            <w:tcW w:w="696" w:type="dxa"/>
            <w:vAlign w:val="center"/>
            <w:vMerge w:val="restart"/>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lang w:val="en-US" w:eastAsia="zh-CN"/>
              </w:rPr>
              <w:suppressLineNumbers w:val="0"/>
            </w:pPr>
            <w:r>
              <w:rPr>
                <w:rFonts w:hint="eastAsia" w:ascii="Calibri" w:hAnsi="Calibri" w:eastAsia="宋体" w:cs="Times New Roman"/>
                <w:szCs w:val="22"/>
                <w:vertAlign w:val="baseline"/>
                <w:lang w:val="en-US" w:eastAsia="zh-CN"/>
              </w:rPr>
              <w:t xml:space="preserve">10</w:t>
            </w:r>
            <w:r>
              <w:rPr>
                <w:rFonts w:ascii="Calibri" w:hAnsi="Calibri" w:eastAsia="宋体" w:cs="Times New Roman"/>
                <w:szCs w:val="22"/>
                <w:vertAlign w:val="baseline"/>
                <w:lang w:val="en-US" w:eastAsia="zh-CN"/>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各类制度未建立，建立不全或未备案的，每少一项扣1分。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每季度开展一次工作人员业务培训，并做好培训记录。</w:t>
            </w:r>
            <w:r>
              <w:rPr>
                <w:rFonts w:ascii="Calibri" w:hAnsi="Calibri" w:eastAsia="宋体" w:cs="Times New Roman"/>
                <w:szCs w:val="22"/>
                <w:vertAlign w:val="baseline"/>
              </w:rPr>
            </w:r>
            <w:r/>
          </w:p>
        </w:tc>
        <w:tc>
          <w:tcPr>
            <w:tcW w:w="696"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各类制度未建立，建立不全或未备案的，每少一项扣1分。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交通、警戒、安全标志标识齐全、完整；消防管理到位，消防设施正常备用；应建立突发事件、突发恶劣天气等专项应急预案；安全设施、设备配置齐全，应急物资到位。</w:t>
            </w:r>
            <w:r>
              <w:rPr>
                <w:rFonts w:ascii="Calibri" w:hAnsi="Calibri" w:eastAsia="宋体" w:cs="Times New Roman"/>
                <w:szCs w:val="22"/>
                <w:vertAlign w:val="baseline"/>
              </w:rPr>
            </w:r>
            <w:r/>
          </w:p>
        </w:tc>
        <w:tc>
          <w:tcPr>
            <w:tcW w:w="696"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每少一项扣1分。</w:t>
            </w:r>
            <w:r>
              <w:rPr>
                <w:rFonts w:ascii="Calibri" w:hAnsi="Calibri" w:eastAsia="宋体" w:cs="Times New Roman"/>
                <w:szCs w:val="22"/>
                <w:vertAlign w:val="baseline"/>
              </w:rPr>
            </w:r>
            <w:r/>
          </w:p>
        </w:tc>
      </w:tr>
      <w:tr>
        <w:trPr/>
        <w:tc>
          <w:tcPr>
            <w:tcW w:w="1108" w:type="dxa"/>
            <w:vAlign w:val="center"/>
            <w:vMerge w:val="restart"/>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队伍建设</w:t>
            </w: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应建立垃圾处置管理台账管理制度，每月25日前上报工作计划、小结，每年12月25日前上报年度总结。</w:t>
            </w:r>
            <w:r>
              <w:rPr>
                <w:rFonts w:ascii="Calibri" w:hAnsi="Calibri" w:eastAsia="宋体" w:cs="Times New Roman"/>
                <w:szCs w:val="22"/>
                <w:vertAlign w:val="baseline"/>
              </w:rPr>
            </w:r>
            <w:r/>
          </w:p>
        </w:tc>
        <w:tc>
          <w:tcPr>
            <w:tcW w:w="696" w:type="dxa"/>
            <w:vAlign w:val="center"/>
            <w:vMerge w:val="restart"/>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lang w:val="en-US" w:eastAsia="zh-CN"/>
              </w:rPr>
              <w:suppressLineNumbers w:val="0"/>
            </w:pPr>
            <w:r>
              <w:rPr>
                <w:rFonts w:hint="eastAsia" w:ascii="Calibri" w:hAnsi="Calibri" w:eastAsia="宋体" w:cs="Times New Roman"/>
                <w:szCs w:val="22"/>
                <w:vertAlign w:val="baseline"/>
                <w:lang w:val="en-US" w:eastAsia="zh-CN"/>
              </w:rPr>
              <w:t xml:space="preserve">10</w:t>
            </w:r>
            <w:r>
              <w:rPr>
                <w:rFonts w:ascii="Calibri" w:hAnsi="Calibri" w:eastAsia="宋体" w:cs="Times New Roman"/>
                <w:szCs w:val="22"/>
                <w:vertAlign w:val="baseline"/>
                <w:lang w:val="en-US" w:eastAsia="zh-CN"/>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未建立或未上报的，每次扣1分。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所有作业人员穿着统一的作业服装，穿戴整齐，不留怪异发型，涂抹指甲油，不浓妆艳抹，饰品严禁外露，严禁吸烟、吃零食、看报纸、手机上网、及做其它余工作无关的事情并持证上岗。</w:t>
            </w:r>
            <w:r>
              <w:rPr>
                <w:rFonts w:ascii="Calibri" w:hAnsi="Calibri" w:eastAsia="宋体" w:cs="Times New Roman"/>
                <w:szCs w:val="22"/>
                <w:vertAlign w:val="baseline"/>
              </w:rPr>
            </w:r>
            <w:r/>
          </w:p>
        </w:tc>
        <w:tc>
          <w:tcPr>
            <w:tcW w:w="696"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上岗人员有缺少或不符合要求的，每人每次扣1分。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作业人员服务态度良好，不得与废弃物产生居民或单位争执、争吵或打架。</w:t>
            </w:r>
            <w:r>
              <w:rPr>
                <w:rFonts w:ascii="Calibri" w:hAnsi="Calibri" w:eastAsia="宋体" w:cs="Times New Roman"/>
                <w:szCs w:val="22"/>
                <w:vertAlign w:val="baseline"/>
              </w:rPr>
            </w:r>
            <w:r/>
          </w:p>
        </w:tc>
        <w:tc>
          <w:tcPr>
            <w:tcW w:w="696"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作业人员服务态度恶劣，发生争执、争吵或打架等恶劣行为的，每人每次扣2分。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上报联络员，负责与主管部门日常工作对接；按时报送行业管理部门信息，且数据真实可靠；及时报送运行检修计划、应急情况、事故故障等信息。</w:t>
            </w:r>
            <w:r>
              <w:rPr>
                <w:rFonts w:ascii="Calibri" w:hAnsi="Calibri" w:eastAsia="宋体" w:cs="Times New Roman"/>
                <w:szCs w:val="22"/>
                <w:vertAlign w:val="baseline"/>
              </w:rPr>
            </w:r>
            <w:r/>
          </w:p>
        </w:tc>
        <w:tc>
          <w:tcPr>
            <w:tcW w:w="696"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未及时上报的，每次扣2分。</w:t>
            </w:r>
            <w:r>
              <w:rPr>
                <w:rFonts w:ascii="Calibri" w:hAnsi="Calibri" w:eastAsia="宋体" w:cs="Times New Roman"/>
                <w:szCs w:val="22"/>
                <w:vertAlign w:val="baseline"/>
              </w:rPr>
            </w:r>
            <w:r/>
          </w:p>
        </w:tc>
      </w:tr>
      <w:tr>
        <w:trPr/>
        <w:tc>
          <w:tcPr>
            <w:tcW w:w="1108" w:type="dxa"/>
            <w:vAlign w:val="center"/>
            <w:vMerge w:val="restart"/>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文明、   安全生产</w:t>
            </w: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服从行业主管部门业务指导，自觉接受检查、督促和考核。</w:t>
            </w:r>
            <w:r>
              <w:rPr>
                <w:rFonts w:ascii="Calibri" w:hAnsi="Calibri" w:eastAsia="宋体" w:cs="Times New Roman"/>
                <w:szCs w:val="22"/>
                <w:vertAlign w:val="baseline"/>
              </w:rPr>
            </w:r>
            <w:r/>
          </w:p>
        </w:tc>
        <w:tc>
          <w:tcPr>
            <w:tcW w:w="696" w:type="dxa"/>
            <w:vAlign w:val="center"/>
            <w:vMerge w:val="restart"/>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lang w:val="en-US" w:eastAsia="zh-CN"/>
              </w:rPr>
              <w:suppressLineNumbers w:val="0"/>
            </w:pPr>
            <w:r>
              <w:rPr>
                <w:rFonts w:hint="eastAsia" w:ascii="Calibri" w:hAnsi="Calibri" w:eastAsia="宋体" w:cs="Times New Roman"/>
                <w:szCs w:val="22"/>
                <w:vertAlign w:val="baseline"/>
                <w:lang w:val="en-US" w:eastAsia="zh-CN"/>
              </w:rPr>
              <w:t xml:space="preserve">10</w:t>
            </w:r>
            <w:r>
              <w:rPr>
                <w:rFonts w:ascii="Calibri" w:hAnsi="Calibri" w:eastAsia="宋体" w:cs="Times New Roman"/>
                <w:szCs w:val="22"/>
                <w:vertAlign w:val="baseline"/>
                <w:lang w:val="en-US" w:eastAsia="zh-CN"/>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未做到或暴力对抗市监督管理部门的，每次扣5分。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应按法律法规规定做好防尘、降尘、防噪及污水排放等措施，达标排放。</w:t>
            </w:r>
            <w:r>
              <w:rPr>
                <w:rFonts w:ascii="Calibri" w:hAnsi="Calibri" w:eastAsia="宋体" w:cs="Times New Roman"/>
                <w:szCs w:val="22"/>
                <w:vertAlign w:val="baseline"/>
              </w:rPr>
            </w:r>
            <w:r/>
          </w:p>
        </w:tc>
        <w:tc>
          <w:tcPr>
            <w:tcW w:w="696"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未做到，每次扣1分；被市级主管部门查实的，每次扣2分。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做好垃圾处置中心及周边的环境卫生保护，建立保洁制度，并落实到位。</w:t>
            </w:r>
            <w:r>
              <w:rPr>
                <w:rFonts w:ascii="Calibri" w:hAnsi="Calibri" w:eastAsia="宋体" w:cs="Times New Roman"/>
                <w:szCs w:val="22"/>
                <w:vertAlign w:val="baseline"/>
              </w:rPr>
            </w:r>
            <w:r/>
          </w:p>
        </w:tc>
        <w:tc>
          <w:tcPr>
            <w:tcW w:w="696"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发现地面、墙面、绿地等区域卫生不洁，有零星垃圾及黑臭现象，乱堆放，乱张贴、乱涂写、乱停放、乱披挂等现象，未做到，每次扣1分；被市级主管部门查实的，每次扣2分。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建立并执行进垃圾处理中心垃圾检视制度，控制措施及要求；垃圾处理中心不允许混装生活垃圾以外的废弃物，不允许接纳工业垃圾、其他固废以及危险废弃物；垃圾收运车辆型号统一，车型及载重合理，运输过程中封闭性好，外观整洁；收集车辆不允许私自收集不在服务范围内的垃圾；垃圾日产日清，无垃圾隔夜转运现象；当日转运完毕及时冲洗地面，建立消杀制度并且每日消杀。</w:t>
            </w:r>
            <w:r>
              <w:rPr>
                <w:rFonts w:ascii="Calibri" w:hAnsi="Calibri" w:eastAsia="宋体" w:cs="Times New Roman"/>
                <w:szCs w:val="22"/>
                <w:vertAlign w:val="baseline"/>
              </w:rPr>
            </w:r>
            <w:r/>
          </w:p>
        </w:tc>
        <w:tc>
          <w:tcPr>
            <w:tcW w:w="696"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未做到或不符合要求的，每次扣1分。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对实施机构及上级部门提出的整改要求，应及时整改到位。</w:t>
            </w:r>
            <w:r>
              <w:rPr>
                <w:rFonts w:ascii="Calibri" w:hAnsi="Calibri" w:eastAsia="宋体" w:cs="Times New Roman"/>
                <w:szCs w:val="22"/>
                <w:vertAlign w:val="baseline"/>
              </w:rPr>
            </w:r>
            <w:r/>
          </w:p>
        </w:tc>
        <w:tc>
          <w:tcPr>
            <w:tcW w:w="696" w:type="dxa"/>
            <w:vAlign w:val="top"/>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未做到，每次扣3分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项目运作过程中出现举报、信访、网络舆情等。</w:t>
            </w:r>
            <w:r>
              <w:rPr>
                <w:rFonts w:ascii="Calibri" w:hAnsi="Calibri" w:eastAsia="宋体" w:cs="Times New Roman"/>
                <w:szCs w:val="22"/>
                <w:vertAlign w:val="baseline"/>
              </w:rPr>
            </w:r>
            <w:r/>
          </w:p>
        </w:tc>
        <w:tc>
          <w:tcPr>
            <w:tcW w:w="696" w:type="dxa"/>
            <w:vAlign w:val="top"/>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top"/>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发生一起扣1分，不及时整改消除影响的，每起扣2分。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实行进垃圾处理中心垃圾称重，计量台账资料齐全，数据真实，来源清晰；地磅出现故障，半小时内通知实施机构。</w:t>
            </w:r>
            <w:r>
              <w:rPr>
                <w:rFonts w:ascii="Calibri" w:hAnsi="Calibri" w:eastAsia="宋体" w:cs="Times New Roman"/>
                <w:szCs w:val="22"/>
                <w:vertAlign w:val="baseline"/>
              </w:rPr>
            </w:r>
            <w:r/>
          </w:p>
        </w:tc>
        <w:tc>
          <w:tcPr>
            <w:tcW w:w="696" w:type="dxa"/>
            <w:vAlign w:val="center"/>
            <w:vMerge w:val="restart"/>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lang w:val="en-US" w:eastAsia="zh-CN"/>
              </w:rPr>
              <w:suppressLineNumbers w:val="0"/>
            </w:pPr>
            <w:r>
              <w:rPr>
                <w:rFonts w:hint="eastAsia" w:ascii="Calibri" w:hAnsi="Calibri" w:eastAsia="宋体" w:cs="Times New Roman"/>
                <w:szCs w:val="22"/>
                <w:vertAlign w:val="baseline"/>
                <w:lang w:val="en-US" w:eastAsia="zh-CN"/>
              </w:rPr>
              <w:t xml:space="preserve">10</w:t>
            </w:r>
            <w:r>
              <w:rPr>
                <w:rFonts w:ascii="Calibri" w:hAnsi="Calibri" w:eastAsia="宋体" w:cs="Times New Roman"/>
                <w:szCs w:val="22"/>
                <w:vertAlign w:val="baseline"/>
                <w:lang w:val="en-US" w:eastAsia="zh-CN"/>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未做到，每次扣2分。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未经实施机构同意擅自调整经校验的地磅。</w:t>
            </w:r>
            <w:r>
              <w:rPr>
                <w:rFonts w:ascii="Calibri" w:hAnsi="Calibri" w:eastAsia="宋体" w:cs="Times New Roman"/>
                <w:szCs w:val="22"/>
                <w:vertAlign w:val="baseline"/>
              </w:rPr>
            </w:r>
            <w:r/>
          </w:p>
        </w:tc>
        <w:tc>
          <w:tcPr>
            <w:tcW w:w="696" w:type="dxa"/>
            <w:vAlign w:val="top"/>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top"/>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擅自调整地磅的，发现一次扣10分。</w:t>
            </w:r>
            <w:r>
              <w:rPr>
                <w:rFonts w:ascii="Calibri" w:hAnsi="Calibri" w:eastAsia="宋体" w:cs="Times New Roman"/>
                <w:szCs w:val="22"/>
                <w:vertAlign w:val="baseline"/>
              </w:rPr>
            </w:r>
            <w:r/>
          </w:p>
        </w:tc>
      </w:tr>
      <w:tr>
        <w:trPr/>
        <w:tc>
          <w:tcPr>
            <w:tcW w:w="1108"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疫情防控</w:t>
            </w: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建立消杀制度并落实到位，车辆、地面、墙面、周围环境、口罩桶（袋）、设备每日按要求消杀并有消杀记录。</w:t>
            </w:r>
            <w:r>
              <w:rPr>
                <w:rFonts w:ascii="Calibri" w:hAnsi="Calibri" w:eastAsia="宋体" w:cs="Times New Roman"/>
                <w:szCs w:val="22"/>
                <w:vertAlign w:val="baseline"/>
              </w:rPr>
            </w:r>
            <w:r/>
          </w:p>
        </w:tc>
        <w:tc>
          <w:tcPr>
            <w:tcW w:w="696" w:type="dxa"/>
            <w:vAlign w:val="center"/>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lang w:val="en-US" w:eastAsia="zh-CN"/>
              </w:rPr>
              <w:suppressLineNumbers w:val="0"/>
            </w:pPr>
            <w:r>
              <w:rPr>
                <w:rFonts w:hint="eastAsia" w:ascii="Calibri" w:hAnsi="Calibri" w:eastAsia="宋体" w:cs="Times New Roman"/>
                <w:szCs w:val="22"/>
                <w:vertAlign w:val="baseline"/>
                <w:lang w:val="en-US" w:eastAsia="zh-CN"/>
              </w:rPr>
              <w:t xml:space="preserve">10</w:t>
            </w:r>
            <w:r>
              <w:rPr>
                <w:rFonts w:ascii="Calibri" w:hAnsi="Calibri" w:eastAsia="宋体" w:cs="Times New Roman"/>
                <w:szCs w:val="22"/>
                <w:vertAlign w:val="baseline"/>
                <w:lang w:val="en-US" w:eastAsia="zh-CN"/>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未做到，每次扣2分。</w:t>
            </w:r>
            <w:r>
              <w:rPr>
                <w:rFonts w:ascii="Calibri" w:hAnsi="Calibri" w:eastAsia="宋体" w:cs="Times New Roman"/>
                <w:szCs w:val="22"/>
                <w:vertAlign w:val="baseline"/>
              </w:rPr>
            </w:r>
            <w:r/>
          </w:p>
        </w:tc>
      </w:tr>
      <w:tr>
        <w:trPr/>
        <w:tc>
          <w:tcPr>
            <w:tcW w:w="1108" w:type="dxa"/>
            <w:vAlign w:val="center"/>
            <w:vMerge w:val="restart"/>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大件、建筑垃圾堆场管理</w:t>
            </w: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功能区划分合理，大件、建筑垃圾分区进行堆放处置。</w:t>
            </w:r>
            <w:r>
              <w:rPr>
                <w:rFonts w:ascii="Calibri" w:hAnsi="Calibri" w:eastAsia="宋体" w:cs="Times New Roman"/>
                <w:szCs w:val="22"/>
                <w:vertAlign w:val="baseline"/>
              </w:rPr>
            </w:r>
            <w:r/>
          </w:p>
        </w:tc>
        <w:tc>
          <w:tcPr>
            <w:tcW w:w="696" w:type="dxa"/>
            <w:vAlign w:val="center"/>
            <w:vMerge w:val="restart"/>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lang w:val="en-US" w:eastAsia="zh-CN"/>
              </w:rPr>
              <w:suppressLineNumbers w:val="0"/>
            </w:pPr>
            <w:r>
              <w:rPr>
                <w:rFonts w:hint="eastAsia" w:ascii="Calibri" w:hAnsi="Calibri" w:eastAsia="宋体" w:cs="Times New Roman"/>
                <w:szCs w:val="22"/>
                <w:vertAlign w:val="baseline"/>
                <w:lang w:val="en-US" w:eastAsia="zh-CN"/>
              </w:rPr>
              <w:t xml:space="preserve">10</w:t>
            </w:r>
            <w:r>
              <w:rPr>
                <w:rFonts w:ascii="Calibri" w:hAnsi="Calibri" w:eastAsia="宋体" w:cs="Times New Roman"/>
                <w:szCs w:val="22"/>
                <w:vertAlign w:val="baseline"/>
                <w:lang w:val="en-US" w:eastAsia="zh-CN"/>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top"/>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功能区设置混乱，扣1分；未进行分区，扣2分。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车辆进出场区顺畅有序。</w:t>
            </w:r>
            <w:r>
              <w:rPr>
                <w:rFonts w:ascii="Calibri" w:hAnsi="Calibri" w:eastAsia="宋体" w:cs="Times New Roman"/>
                <w:szCs w:val="22"/>
                <w:vertAlign w:val="baseline"/>
              </w:rPr>
            </w:r>
            <w:r/>
          </w:p>
        </w:tc>
        <w:tc>
          <w:tcPr>
            <w:tcW w:w="696" w:type="dxa"/>
            <w:vAlign w:val="top"/>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top"/>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未做到，扣1分。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场地内保持卫生整洁。</w:t>
            </w:r>
            <w:r>
              <w:rPr>
                <w:rFonts w:ascii="Calibri" w:hAnsi="Calibri" w:eastAsia="宋体" w:cs="Times New Roman"/>
                <w:szCs w:val="22"/>
                <w:vertAlign w:val="baseline"/>
              </w:rPr>
            </w:r>
            <w:r/>
          </w:p>
        </w:tc>
        <w:tc>
          <w:tcPr>
            <w:tcW w:w="696" w:type="dxa"/>
            <w:vAlign w:val="top"/>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top"/>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未做到，扣1分。</w:t>
            </w:r>
            <w:r>
              <w:rPr>
                <w:rFonts w:ascii="Calibri" w:hAnsi="Calibri" w:eastAsia="宋体" w:cs="Times New Roman"/>
                <w:szCs w:val="22"/>
                <w:vertAlign w:val="baseline"/>
              </w:rPr>
            </w:r>
            <w:r/>
          </w:p>
        </w:tc>
      </w:tr>
      <w:tr>
        <w:trPr/>
        <w:tc>
          <w:tcPr>
            <w:tcW w:w="1108" w:type="dxa"/>
            <w:vAlign w:val="center"/>
            <w:vMerge w:val="restart"/>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垃圾分类</w:t>
            </w: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建筑垃圾须进行充分分类分拣，木材、塑料、废铁等落实回收公司回收利用，台账资料齐全，数据真实，分类分拣出的垃圾去向清晰。</w:t>
            </w:r>
            <w:r>
              <w:rPr>
                <w:rFonts w:ascii="Calibri" w:hAnsi="Calibri" w:eastAsia="宋体" w:cs="Times New Roman"/>
                <w:szCs w:val="22"/>
                <w:vertAlign w:val="baseline"/>
              </w:rPr>
            </w:r>
            <w:r/>
          </w:p>
        </w:tc>
        <w:tc>
          <w:tcPr>
            <w:tcW w:w="696" w:type="dxa"/>
            <w:vAlign w:val="center"/>
            <w:vMerge w:val="restart"/>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lang w:val="en-US" w:eastAsia="zh-CN"/>
              </w:rPr>
              <w:suppressLineNumbers w:val="0"/>
            </w:pPr>
            <w:r>
              <w:rPr>
                <w:rFonts w:hint="eastAsia" w:ascii="Calibri" w:hAnsi="Calibri" w:eastAsia="宋体" w:cs="Times New Roman"/>
                <w:szCs w:val="22"/>
                <w:vertAlign w:val="baseline"/>
                <w:lang w:val="en-US" w:eastAsia="zh-CN"/>
              </w:rPr>
              <w:t xml:space="preserve">10</w:t>
            </w:r>
            <w:r>
              <w:rPr>
                <w:rFonts w:ascii="Calibri" w:hAnsi="Calibri" w:eastAsia="宋体" w:cs="Times New Roman"/>
                <w:szCs w:val="22"/>
                <w:vertAlign w:val="baseline"/>
                <w:lang w:val="en-US" w:eastAsia="zh-CN"/>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top"/>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未充分分类分拣或不符合要求的，每发现一次扣1分；未落实回收公司，扣2分。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配备建筑垃圾分类人员、分拣机械设备，不允许混装建筑垃圾以外的废弃物。</w:t>
            </w:r>
            <w:r>
              <w:rPr>
                <w:rFonts w:ascii="Calibri" w:hAnsi="Calibri" w:eastAsia="宋体" w:cs="Times New Roman"/>
                <w:szCs w:val="22"/>
                <w:vertAlign w:val="baseline"/>
              </w:rPr>
            </w:r>
            <w:r/>
          </w:p>
        </w:tc>
        <w:tc>
          <w:tcPr>
            <w:tcW w:w="696" w:type="dxa"/>
            <w:vAlign w:val="top"/>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top"/>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未配备的，每次扣2分。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大件垃圾，需及时进行破碎处理。</w:t>
            </w:r>
            <w:r>
              <w:rPr>
                <w:rFonts w:ascii="Calibri" w:hAnsi="Calibri" w:eastAsia="宋体" w:cs="Times New Roman"/>
                <w:szCs w:val="22"/>
                <w:vertAlign w:val="baseline"/>
              </w:rPr>
            </w:r>
            <w:r/>
          </w:p>
        </w:tc>
        <w:tc>
          <w:tcPr>
            <w:tcW w:w="696" w:type="dxa"/>
            <w:vAlign w:val="top"/>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top"/>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未及时处理的，每次扣1分；不处置、不破碎的，每次扣2分。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进入堆场的垃圾须进行充分分类分拣，分拣出的垃圾应定期转运，确保易腐垃圾、其他垃圾日产日清，可回收物和有害垃圾按各项要求、标准进行分类存放。</w:t>
            </w:r>
            <w:r>
              <w:rPr>
                <w:rFonts w:ascii="Calibri" w:hAnsi="Calibri" w:eastAsia="宋体" w:cs="Times New Roman"/>
                <w:szCs w:val="22"/>
                <w:vertAlign w:val="baseline"/>
              </w:rPr>
            </w:r>
            <w:r/>
          </w:p>
        </w:tc>
        <w:tc>
          <w:tcPr>
            <w:tcW w:w="696" w:type="dxa"/>
            <w:vAlign w:val="top"/>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未充分分类分拣或不符合要求的，每发现一次扣1分。</w:t>
            </w:r>
            <w:r>
              <w:rPr>
                <w:rFonts w:ascii="Calibri" w:hAnsi="Calibri" w:eastAsia="宋体" w:cs="Times New Roman"/>
                <w:szCs w:val="22"/>
                <w:vertAlign w:val="baseline"/>
              </w:rPr>
            </w:r>
            <w:r/>
          </w:p>
        </w:tc>
      </w:tr>
      <w:tr>
        <w:trPr/>
        <w:tc>
          <w:tcPr>
            <w:tcW w:w="1108" w:type="dxa"/>
            <w:vAlign w:val="center"/>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分拣产生的生活垃圾及时自行落实无害化处置。</w:t>
            </w:r>
            <w:r>
              <w:rPr>
                <w:rFonts w:ascii="Calibri" w:hAnsi="Calibri" w:eastAsia="宋体" w:cs="Times New Roman"/>
                <w:szCs w:val="22"/>
                <w:vertAlign w:val="baseline"/>
              </w:rPr>
            </w:r>
            <w:r/>
          </w:p>
        </w:tc>
        <w:tc>
          <w:tcPr>
            <w:tcW w:w="696" w:type="dxa"/>
            <w:vAlign w:val="top"/>
            <w:vMerge w:val="continue"/>
            <w:textDirection w:val="lrTb"/>
            <w:noWrap w:val="false"/>
          </w:tcPr>
          <w:p>
            <w:pPr>
              <w:pStyle w:val="1070"/>
              <w:ind w:left="0" w:right="0" w:firstLine="42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未做到，每次扣1分。</w:t>
            </w:r>
            <w:r>
              <w:rPr>
                <w:rFonts w:ascii="Calibri" w:hAnsi="Calibri" w:eastAsia="宋体" w:cs="Times New Roman"/>
                <w:szCs w:val="22"/>
                <w:vertAlign w:val="baseline"/>
              </w:rPr>
            </w:r>
            <w:r/>
          </w:p>
        </w:tc>
      </w:tr>
      <w:tr>
        <w:trPr/>
        <w:tc>
          <w:tcPr>
            <w:tcW w:w="1108" w:type="dxa"/>
            <w:vAlign w:val="center"/>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尾渣、废水处置</w:t>
            </w: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尾渣、废水落实最终处置，运输、处理、排放过程符合环保要求与排放标准。</w:t>
            </w:r>
            <w:r>
              <w:rPr>
                <w:rFonts w:ascii="Calibri" w:hAnsi="Calibri" w:eastAsia="宋体" w:cs="Times New Roman"/>
                <w:szCs w:val="22"/>
                <w:vertAlign w:val="baseline"/>
              </w:rPr>
            </w:r>
            <w:r/>
          </w:p>
        </w:tc>
        <w:tc>
          <w:tcPr>
            <w:tcW w:w="696" w:type="dxa"/>
            <w:vAlign w:val="center"/>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lang w:val="en-US" w:eastAsia="zh-CN"/>
              </w:rPr>
              <w:suppressLineNumbers w:val="0"/>
            </w:pPr>
            <w:r>
              <w:rPr>
                <w:rFonts w:hint="eastAsia" w:ascii="Calibri" w:hAnsi="Calibri" w:eastAsia="宋体" w:cs="Times New Roman"/>
                <w:szCs w:val="22"/>
                <w:vertAlign w:val="baseline"/>
                <w:lang w:val="en-US" w:eastAsia="zh-CN"/>
              </w:rPr>
              <w:t xml:space="preserve">10</w:t>
            </w:r>
            <w:r>
              <w:rPr>
                <w:rFonts w:ascii="Calibri" w:hAnsi="Calibri" w:eastAsia="宋体" w:cs="Times New Roman"/>
                <w:szCs w:val="22"/>
                <w:vertAlign w:val="baseline"/>
                <w:lang w:val="en-US" w:eastAsia="zh-CN"/>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top"/>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未落实最终处置的，扣5分；运输、处理、排放不符合标准的，每次扣2分。</w:t>
            </w:r>
            <w:r>
              <w:rPr>
                <w:rFonts w:ascii="Calibri" w:hAnsi="Calibri" w:eastAsia="宋体" w:cs="Times New Roman"/>
                <w:szCs w:val="22"/>
                <w:vertAlign w:val="baseline"/>
              </w:rPr>
            </w:r>
            <w:r/>
          </w:p>
        </w:tc>
      </w:tr>
      <w:tr>
        <w:trPr>
          <w:trHeight w:val="1733"/>
        </w:trPr>
        <w:tc>
          <w:tcPr>
            <w:tcW w:w="1108" w:type="dxa"/>
            <w:vAlign w:val="center"/>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终端埋填</w:t>
            </w: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对无法再生利用的建筑废弃物，需明确落实好终端消纳，并及时转运。转运过程中无抛洒、滴漏，不得污染河道及周边环境卫生。</w:t>
            </w:r>
            <w:r>
              <w:rPr>
                <w:rFonts w:ascii="Calibri" w:hAnsi="Calibri" w:eastAsia="宋体" w:cs="Times New Roman"/>
                <w:szCs w:val="22"/>
                <w:vertAlign w:val="baseline"/>
              </w:rPr>
            </w:r>
            <w:r/>
          </w:p>
        </w:tc>
        <w:tc>
          <w:tcPr>
            <w:tcW w:w="696" w:type="dxa"/>
            <w:vAlign w:val="center"/>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lang w:val="en-US" w:eastAsia="zh-CN"/>
              </w:rPr>
              <w:suppressLineNumbers w:val="0"/>
            </w:pPr>
            <w:r>
              <w:rPr>
                <w:rFonts w:hint="eastAsia" w:ascii="Calibri" w:hAnsi="Calibri" w:eastAsia="宋体" w:cs="Times New Roman"/>
                <w:szCs w:val="22"/>
                <w:vertAlign w:val="baseline"/>
                <w:lang w:val="en-US" w:eastAsia="zh-CN"/>
              </w:rPr>
              <w:t xml:space="preserve">10</w:t>
            </w:r>
            <w:r>
              <w:rPr>
                <w:rFonts w:ascii="Calibri" w:hAnsi="Calibri" w:eastAsia="宋体" w:cs="Times New Roman"/>
                <w:szCs w:val="22"/>
                <w:vertAlign w:val="baseline"/>
                <w:lang w:val="en-US" w:eastAsia="zh-CN"/>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top"/>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落实终端消纳的，扣10分；不及时转运的，每次扣1分；有抛洒未及时清理的，每次扣2分；对河道或周边环境造成影响的，按影响程度，每次扣2分。</w:t>
            </w:r>
            <w:r>
              <w:rPr>
                <w:rFonts w:ascii="Calibri" w:hAnsi="Calibri" w:eastAsia="宋体" w:cs="Times New Roman"/>
                <w:szCs w:val="22"/>
                <w:vertAlign w:val="baseline"/>
              </w:rPr>
            </w:r>
            <w:r/>
          </w:p>
        </w:tc>
      </w:tr>
      <w:tr>
        <w:trPr/>
        <w:tc>
          <w:tcPr>
            <w:tcW w:w="1108" w:type="dxa"/>
            <w:vAlign w:val="center"/>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设备与材料</w:t>
            </w:r>
            <w:r>
              <w:rPr>
                <w:rFonts w:ascii="Calibri" w:hAnsi="Calibri" w:eastAsia="宋体" w:cs="Times New Roman"/>
                <w:szCs w:val="22"/>
                <w:vertAlign w:val="baseline"/>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有详细的维护计划，设备、设施及时进行检查维护，有详细的检修记录，备件、备材充足。</w:t>
            </w:r>
            <w:r>
              <w:rPr>
                <w:rFonts w:ascii="Calibri" w:hAnsi="Calibri" w:eastAsia="宋体" w:cs="Times New Roman"/>
                <w:szCs w:val="22"/>
                <w:vertAlign w:val="baseline"/>
              </w:rPr>
            </w:r>
            <w:r/>
          </w:p>
        </w:tc>
        <w:tc>
          <w:tcPr>
            <w:tcW w:w="696" w:type="dxa"/>
            <w:vAlign w:val="center"/>
            <w:textDirection w:val="lrTb"/>
            <w:noWrap w:val="false"/>
          </w:tcPr>
          <w:p>
            <w:pPr>
              <w:pStyle w:val="1070"/>
              <w:ind w:left="0" w:right="0" w:firstLine="0"/>
              <w:jc w:val="center"/>
              <w:keepLines w:val="0"/>
              <w:keepNext w:val="0"/>
              <w:spacing w:before="0" w:beforeAutospacing="0" w:after="0" w:afterAutospacing="0"/>
              <w:widowControl/>
              <w:rPr>
                <w:rFonts w:hint="eastAsia" w:ascii="Calibri" w:hAnsi="Calibri" w:eastAsia="宋体" w:cs="Times New Roman"/>
                <w:szCs w:val="22"/>
                <w:vertAlign w:val="baseline"/>
                <w:lang w:val="en-US" w:eastAsia="zh-CN"/>
              </w:rPr>
              <w:suppressLineNumbers w:val="0"/>
            </w:pPr>
            <w:r>
              <w:rPr>
                <w:rFonts w:hint="eastAsia" w:ascii="Calibri" w:hAnsi="Calibri" w:eastAsia="宋体" w:cs="Times New Roman"/>
                <w:szCs w:val="22"/>
                <w:vertAlign w:val="baseline"/>
                <w:lang w:val="en-US" w:eastAsia="zh-CN"/>
              </w:rPr>
              <w:t xml:space="preserve">5</w:t>
            </w:r>
            <w:r>
              <w:rPr>
                <w:rFonts w:hint="eastAsia" w:ascii="Calibri" w:hAnsi="Calibri" w:eastAsia="宋体" w:cs="Times New Roman"/>
                <w:szCs w:val="22"/>
                <w:vertAlign w:val="baseline"/>
                <w:lang w:val="en-US" w:eastAsia="zh-CN"/>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top"/>
            <w:textDirection w:val="lrTb"/>
            <w:noWrap w:val="false"/>
          </w:tcPr>
          <w:p>
            <w:pPr>
              <w:pStyle w:val="1070"/>
              <w:ind w:left="0" w:right="0" w:firstLine="0"/>
              <w:jc w:val="both"/>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hint="eastAsia" w:ascii="宋体" w:hAnsi="宋体" w:eastAsia="宋体" w:cs="宋体"/>
                <w:b w:val="0"/>
                <w:bCs w:val="0"/>
                <w:sz w:val="21"/>
                <w:szCs w:val="21"/>
                <w:lang w:val="en-US" w:eastAsia="zh-CN" w:bidi="ar-SA"/>
              </w:rPr>
              <w:t xml:space="preserve">不符合要求及影响项目正常运营的，每次扣1分，并赔偿实施机构相应损失。</w:t>
            </w:r>
            <w:r>
              <w:rPr>
                <w:rFonts w:ascii="Calibri" w:hAnsi="Calibri" w:eastAsia="宋体" w:cs="Times New Roman"/>
                <w:szCs w:val="22"/>
                <w:vertAlign w:val="baseline"/>
              </w:rPr>
            </w:r>
            <w:r/>
          </w:p>
        </w:tc>
      </w:tr>
      <w:tr>
        <w:trPr/>
        <w:tc>
          <w:tcPr>
            <w:tcW w:w="1108" w:type="dxa"/>
            <w:vAlign w:val="center"/>
            <w:textDirection w:val="lrTb"/>
            <w:noWrap w:val="false"/>
          </w:tcPr>
          <w:p>
            <w:pPr>
              <w:pStyle w:val="1070"/>
              <w:ind w:left="0" w:right="0" w:firstLine="0"/>
              <w:jc w:val="center"/>
              <w:keepLines w:val="0"/>
              <w:keepNext w:val="0"/>
              <w:spacing w:before="0" w:beforeAutospacing="0" w:after="0" w:afterAutospacing="0"/>
              <w:widowControl/>
              <w:rPr>
                <w:rFonts w:hint="eastAsia" w:ascii="宋体" w:hAnsi="宋体" w:eastAsia="宋体" w:cs="宋体"/>
                <w:b w:val="0"/>
                <w:bCs w:val="0"/>
                <w:sz w:val="21"/>
                <w:szCs w:val="21"/>
                <w:lang w:val="en-US" w:eastAsia="zh-CN" w:bidi="ar-SA"/>
              </w:rPr>
              <w:suppressLineNumbers w:val="0"/>
            </w:pPr>
            <w:r>
              <w:rPr>
                <w:rFonts w:hint="eastAsia" w:ascii="宋体" w:hAnsi="宋体" w:eastAsia="宋体" w:cs="宋体"/>
                <w:b w:val="0"/>
                <w:bCs w:val="0"/>
                <w:sz w:val="21"/>
                <w:szCs w:val="21"/>
                <w:lang w:val="en-US" w:eastAsia="zh-CN" w:bidi="ar-SA"/>
              </w:rPr>
              <w:t xml:space="preserve">再生利用效率</w:t>
            </w:r>
            <w:r>
              <w:rPr>
                <w:rFonts w:hint="eastAsia" w:ascii="宋体" w:hAnsi="宋体" w:eastAsia="宋体" w:cs="宋体"/>
                <w:b w:val="0"/>
                <w:bCs w:val="0"/>
                <w:sz w:val="21"/>
                <w:szCs w:val="21"/>
                <w:lang w:val="en-US" w:eastAsia="zh-CN" w:bidi="ar-SA"/>
              </w:rPr>
            </w:r>
            <w:r/>
          </w:p>
        </w:tc>
        <w:tc>
          <w:tcPr>
            <w:tcW w:w="4143" w:type="dxa"/>
            <w:vAlign w:val="center"/>
            <w:textDirection w:val="lrTb"/>
            <w:noWrap w:val="false"/>
          </w:tcPr>
          <w:p>
            <w:pPr>
              <w:pStyle w:val="1070"/>
              <w:ind w:left="0" w:right="0" w:firstLine="0"/>
              <w:jc w:val="both"/>
              <w:keepLines w:val="0"/>
              <w:keepNext w:val="0"/>
              <w:spacing w:before="0" w:beforeAutospacing="0" w:after="0" w:afterAutospacing="0"/>
              <w:widowControl/>
              <w:rPr>
                <w:rFonts w:hint="eastAsia" w:ascii="宋体" w:hAnsi="宋体" w:eastAsia="宋体" w:cs="宋体"/>
                <w:b w:val="0"/>
                <w:bCs w:val="0"/>
                <w:sz w:val="21"/>
                <w:szCs w:val="21"/>
                <w:lang w:val="en-US" w:eastAsia="zh-CN" w:bidi="ar-SA"/>
              </w:rPr>
              <w:suppressLineNumbers w:val="0"/>
            </w:pPr>
            <w:r>
              <w:rPr>
                <w:rFonts w:hint="eastAsia" w:ascii="宋体" w:hAnsi="宋体" w:eastAsia="宋体" w:cs="宋体"/>
                <w:b w:val="0"/>
                <w:bCs w:val="0"/>
                <w:sz w:val="21"/>
                <w:szCs w:val="21"/>
                <w:lang w:val="en-US" w:eastAsia="zh-CN" w:bidi="ar-SA"/>
              </w:rPr>
              <w:t xml:space="preserve">应主要进行生产附加值和技术含量相对较高的再生产品，开拓销售市场，打通产品渠道，尽量较少碎石、石粉等破碎成品的直接销售。</w:t>
            </w:r>
            <w:r>
              <w:rPr>
                <w:rFonts w:hint="eastAsia" w:ascii="宋体" w:hAnsi="宋体" w:eastAsia="宋体" w:cs="宋体"/>
                <w:b w:val="0"/>
                <w:bCs w:val="0"/>
                <w:sz w:val="21"/>
                <w:szCs w:val="21"/>
                <w:lang w:val="en-US" w:eastAsia="zh-CN" w:bidi="ar-SA"/>
              </w:rPr>
            </w:r>
            <w:r/>
          </w:p>
        </w:tc>
        <w:tc>
          <w:tcPr>
            <w:tcW w:w="696" w:type="dxa"/>
            <w:vAlign w:val="center"/>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lang w:val="en-US" w:eastAsia="zh-CN"/>
              </w:rPr>
              <w:suppressLineNumbers w:val="0"/>
            </w:pPr>
            <w:r>
              <w:rPr>
                <w:rFonts w:hint="eastAsia" w:ascii="Calibri" w:hAnsi="Calibri" w:eastAsia="宋体" w:cs="Times New Roman"/>
                <w:szCs w:val="22"/>
                <w:vertAlign w:val="baseline"/>
                <w:lang w:val="en-US" w:eastAsia="zh-CN"/>
              </w:rPr>
              <w:t xml:space="preserve">5</w:t>
            </w:r>
            <w:r>
              <w:rPr>
                <w:rFonts w:ascii="Calibri" w:hAnsi="Calibri" w:eastAsia="宋体" w:cs="Times New Roman"/>
                <w:szCs w:val="22"/>
                <w:vertAlign w:val="baseline"/>
                <w:lang w:val="en-US" w:eastAsia="zh-CN"/>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center"/>
            <w:textDirection w:val="lrTb"/>
            <w:noWrap w:val="false"/>
          </w:tcPr>
          <w:p>
            <w:pPr>
              <w:pStyle w:val="1070"/>
              <w:ind w:left="0" w:right="0" w:firstLine="0"/>
              <w:jc w:val="both"/>
              <w:keepLines w:val="0"/>
              <w:keepNext w:val="0"/>
              <w:spacing w:before="0" w:beforeAutospacing="0" w:after="0" w:afterAutospacing="0"/>
              <w:widowControl/>
              <w:rPr>
                <w:rFonts w:hint="eastAsia" w:ascii="宋体" w:hAnsi="宋体" w:eastAsia="宋体" w:cs="宋体"/>
                <w:b w:val="0"/>
                <w:bCs w:val="0"/>
                <w:sz w:val="21"/>
                <w:szCs w:val="21"/>
                <w:lang w:val="en-US" w:eastAsia="zh-CN" w:bidi="ar-SA"/>
              </w:rPr>
              <w:suppressLineNumbers w:val="0"/>
            </w:pPr>
            <w:r>
              <w:rPr>
                <w:rFonts w:hint="eastAsia" w:ascii="宋体" w:hAnsi="宋体" w:eastAsia="宋体" w:cs="宋体"/>
                <w:b w:val="0"/>
                <w:bCs w:val="0"/>
                <w:sz w:val="21"/>
                <w:szCs w:val="21"/>
                <w:lang w:val="en-US" w:eastAsia="zh-CN" w:bidi="ar-SA"/>
              </w:rPr>
              <w:t xml:space="preserve">未做到，扣2分。</w:t>
            </w:r>
            <w:r>
              <w:rPr>
                <w:rFonts w:hint="eastAsia" w:ascii="宋体" w:hAnsi="宋体" w:eastAsia="宋体" w:cs="宋体"/>
                <w:b w:val="0"/>
                <w:bCs w:val="0"/>
                <w:sz w:val="21"/>
                <w:szCs w:val="21"/>
                <w:lang w:val="en-US" w:eastAsia="zh-CN" w:bidi="ar-SA"/>
              </w:rPr>
            </w:r>
            <w:r/>
          </w:p>
        </w:tc>
      </w:tr>
      <w:tr>
        <w:trPr/>
        <w:tc>
          <w:tcPr>
            <w:tcW w:w="1108" w:type="dxa"/>
            <w:vAlign w:val="top"/>
            <w:textDirection w:val="lrTb"/>
            <w:noWrap w:val="false"/>
          </w:tcPr>
          <w:p>
            <w:pPr>
              <w:pStyle w:val="1070"/>
              <w:ind w:left="0" w:right="0" w:firstLine="420"/>
              <w:jc w:val="center"/>
              <w:keepLines w:val="0"/>
              <w:keepNext w:val="0"/>
              <w:spacing w:before="0" w:beforeAutospacing="0" w:after="0" w:afterAutospacing="0"/>
              <w:widowControl/>
              <w:rPr>
                <w:rFonts w:hint="eastAsia" w:ascii="宋体" w:hAnsi="宋体" w:eastAsia="宋体" w:cs="宋体"/>
                <w:b w:val="0"/>
                <w:bCs w:val="0"/>
                <w:sz w:val="21"/>
                <w:szCs w:val="21"/>
                <w:lang w:val="en-US" w:eastAsia="zh-CN" w:bidi="ar-SA"/>
              </w:rPr>
              <w:suppressLineNumbers w:val="0"/>
            </w:pPr>
            <w:r>
              <w:rPr>
                <w:rFonts w:hint="eastAsia" w:ascii="宋体" w:hAnsi="宋体" w:eastAsia="宋体" w:cs="宋体"/>
                <w:b w:val="0"/>
                <w:bCs w:val="0"/>
                <w:sz w:val="21"/>
                <w:szCs w:val="21"/>
                <w:lang w:val="en-US" w:eastAsia="zh-CN" w:bidi="ar-SA"/>
              </w:rPr>
              <w:t xml:space="preserve">合计</w:t>
            </w:r>
            <w:r>
              <w:rPr>
                <w:rFonts w:hint="eastAsia" w:ascii="宋体" w:hAnsi="宋体" w:eastAsia="宋体" w:cs="宋体"/>
                <w:b w:val="0"/>
                <w:bCs w:val="0"/>
                <w:sz w:val="21"/>
                <w:szCs w:val="21"/>
                <w:lang w:val="en-US" w:eastAsia="zh-CN" w:bidi="ar-SA"/>
              </w:rPr>
            </w:r>
            <w:r/>
          </w:p>
        </w:tc>
        <w:tc>
          <w:tcPr>
            <w:tcW w:w="4143" w:type="dxa"/>
            <w:vAlign w:val="center"/>
            <w:textDirection w:val="lrTb"/>
            <w:noWrap w:val="false"/>
          </w:tcPr>
          <w:p>
            <w:pPr>
              <w:pStyle w:val="1070"/>
              <w:ind w:left="0" w:right="0" w:firstLine="420"/>
              <w:jc w:val="both"/>
              <w:keepLines w:val="0"/>
              <w:keepNext w:val="0"/>
              <w:spacing w:before="0" w:beforeAutospacing="0" w:after="0" w:afterAutospacing="0"/>
              <w:widowControl/>
              <w:rPr>
                <w:rFonts w:hint="eastAsia" w:ascii="宋体" w:hAnsi="宋体" w:eastAsia="宋体" w:cs="宋体"/>
                <w:b w:val="0"/>
                <w:bCs w:val="0"/>
                <w:sz w:val="21"/>
                <w:szCs w:val="21"/>
                <w:lang w:val="en-US" w:eastAsia="zh-CN" w:bidi="ar-SA"/>
              </w:rPr>
              <w:suppressLineNumbers w:val="0"/>
            </w:pPr>
            <w:r>
              <w:rPr>
                <w:rFonts w:hint="eastAsia" w:ascii="宋体" w:hAnsi="宋体" w:eastAsia="宋体" w:cs="宋体"/>
                <w:b w:val="0"/>
                <w:bCs w:val="0"/>
                <w:sz w:val="21"/>
                <w:szCs w:val="21"/>
                <w:lang w:val="en-US" w:eastAsia="zh-CN" w:bidi="ar-SA"/>
              </w:rPr>
            </w:r>
            <w:r/>
          </w:p>
        </w:tc>
        <w:tc>
          <w:tcPr>
            <w:tcW w:w="696" w:type="dxa"/>
            <w:vAlign w:val="center"/>
            <w:textDirection w:val="lrTb"/>
            <w:noWrap w:val="false"/>
          </w:tcPr>
          <w:p>
            <w:pPr>
              <w:pStyle w:val="1070"/>
              <w:ind w:left="0" w:right="0" w:firstLine="0"/>
              <w:jc w:val="center"/>
              <w:keepLines w:val="0"/>
              <w:keepNext w:val="0"/>
              <w:spacing w:before="0" w:beforeAutospacing="0" w:after="0" w:afterAutospacing="0"/>
              <w:widowControl/>
              <w:rPr>
                <w:rFonts w:ascii="Calibri" w:hAnsi="Calibri" w:eastAsia="宋体" w:cs="Times New Roman"/>
                <w:szCs w:val="22"/>
                <w:vertAlign w:val="baseline"/>
                <w:lang w:val="en-US" w:eastAsia="zh-CN"/>
              </w:rPr>
              <w:suppressLineNumbers w:val="0"/>
            </w:pPr>
            <w:r>
              <w:rPr>
                <w:rFonts w:hint="eastAsia" w:ascii="Calibri" w:hAnsi="Calibri" w:eastAsia="宋体" w:cs="Times New Roman"/>
                <w:szCs w:val="22"/>
                <w:vertAlign w:val="baseline"/>
                <w:lang w:val="en-US" w:eastAsia="zh-CN"/>
              </w:rPr>
              <w:t xml:space="preserve">100</w:t>
            </w:r>
            <w:r>
              <w:rPr>
                <w:rFonts w:ascii="Calibri" w:hAnsi="Calibri" w:eastAsia="宋体" w:cs="Times New Roman"/>
                <w:szCs w:val="22"/>
                <w:vertAlign w:val="baseline"/>
                <w:lang w:val="en-US" w:eastAsia="zh-CN"/>
              </w:rPr>
            </w:r>
            <w:r/>
          </w:p>
        </w:tc>
        <w:tc>
          <w:tcPr>
            <w:tcW w:w="684" w:type="dxa"/>
            <w:vAlign w:val="top"/>
            <w:textDirection w:val="lrTb"/>
            <w:noWrap w:val="false"/>
          </w:tcPr>
          <w:p>
            <w:pPr>
              <w:pStyle w:val="1070"/>
              <w:ind w:left="0" w:right="0" w:firstLine="420"/>
              <w:keepLines w:val="0"/>
              <w:keepNext w:val="0"/>
              <w:spacing w:before="0" w:beforeAutospacing="0" w:after="0" w:afterAutospacing="0"/>
              <w:widowControl/>
              <w:rPr>
                <w:rFonts w:ascii="Calibri" w:hAnsi="Calibri" w:eastAsia="宋体" w:cs="Times New Roman"/>
                <w:szCs w:val="22"/>
                <w:vertAlign w:val="baseline"/>
              </w:rPr>
              <w:suppressLineNumbers w:val="0"/>
            </w:pPr>
            <w:r>
              <w:rPr>
                <w:rFonts w:ascii="Calibri" w:hAnsi="Calibri" w:eastAsia="宋体" w:cs="Times New Roman"/>
                <w:szCs w:val="22"/>
                <w:vertAlign w:val="baseline"/>
              </w:rPr>
            </w:r>
            <w:r/>
          </w:p>
        </w:tc>
        <w:tc>
          <w:tcPr>
            <w:tcW w:w="3001" w:type="dxa"/>
            <w:vAlign w:val="top"/>
            <w:textDirection w:val="lrTb"/>
            <w:noWrap w:val="false"/>
          </w:tcPr>
          <w:p>
            <w:pPr>
              <w:pStyle w:val="1070"/>
              <w:ind w:left="0" w:right="0" w:firstLine="420"/>
              <w:jc w:val="both"/>
              <w:keepLines w:val="0"/>
              <w:keepNext w:val="0"/>
              <w:spacing w:before="0" w:beforeAutospacing="0" w:after="0" w:afterAutospacing="0"/>
              <w:widowControl/>
              <w:rPr>
                <w:rFonts w:hint="eastAsia" w:ascii="宋体" w:hAnsi="宋体" w:eastAsia="宋体" w:cs="宋体"/>
                <w:b w:val="0"/>
                <w:bCs w:val="0"/>
                <w:sz w:val="21"/>
                <w:szCs w:val="21"/>
                <w:lang w:val="en-US" w:eastAsia="zh-CN" w:bidi="ar-SA"/>
              </w:rPr>
              <w:suppressLineNumbers w:val="0"/>
            </w:pPr>
            <w:r>
              <w:rPr>
                <w:rFonts w:hint="eastAsia" w:ascii="宋体" w:hAnsi="宋体" w:eastAsia="宋体" w:cs="宋体"/>
                <w:b w:val="0"/>
                <w:bCs w:val="0"/>
                <w:sz w:val="21"/>
                <w:szCs w:val="21"/>
                <w:lang w:val="en-US" w:eastAsia="zh-CN" w:bidi="ar-SA"/>
              </w:rPr>
            </w:r>
            <w:r/>
          </w:p>
        </w:tc>
      </w:tr>
    </w:tbl>
    <w:p>
      <w:pPr>
        <w:pStyle w:val="1070"/>
        <w:ind w:left="0" w:firstLine="0"/>
        <w:widowControl/>
        <w:rPr>
          <w:rFonts w:hint="eastAsia" w:ascii="Calibri" w:hAnsi="Calibri" w:eastAsia="宋体" w:cs="Times New Roman"/>
          <w:color w:val="ff0000"/>
          <w:szCs w:val="22"/>
          <w:lang w:eastAsia="zh-CN"/>
        </w:rPr>
      </w:pPr>
      <w:r>
        <w:rPr>
          <w:rFonts w:hint="eastAsia" w:ascii="宋体" w:hAnsi="宋体" w:eastAsia="宋体" w:cs="宋体"/>
          <w:color w:val="ff0000"/>
          <w:sz w:val="21"/>
          <w:szCs w:val="21"/>
          <w:lang w:eastAsia="zh-CN"/>
        </w:rPr>
        <w:t xml:space="preserve">注：甲方可根据实际运营情况，有权对《</w:t>
      </w:r>
      <w:r>
        <w:rPr>
          <w:rFonts w:hint="eastAsia" w:ascii="宋体" w:hAnsi="宋体" w:eastAsia="宋体" w:cs="宋体"/>
          <w:color w:val="ff0000"/>
          <w:sz w:val="21"/>
          <w:szCs w:val="21"/>
          <w:lang w:val="en-US" w:eastAsia="zh-CN"/>
        </w:rPr>
        <w:t xml:space="preserve">社渚镇环卫综合处理中心运营标准及考核评分细则</w:t>
      </w:r>
      <w:r>
        <w:rPr>
          <w:rFonts w:hint="eastAsia" w:ascii="宋体" w:hAnsi="宋体" w:eastAsia="宋体" w:cs="宋体"/>
          <w:color w:val="ff0000"/>
          <w:sz w:val="21"/>
          <w:szCs w:val="21"/>
          <w:lang w:eastAsia="zh-CN"/>
        </w:rPr>
        <w:t xml:space="preserve">》及时进行调整。</w:t>
      </w:r>
      <w:r>
        <w:rPr>
          <w:rFonts w:hint="eastAsia" w:ascii="Calibri" w:hAnsi="Calibri" w:eastAsia="宋体" w:cs="Times New Roman"/>
          <w:color w:val="ff0000"/>
          <w:szCs w:val="22"/>
          <w:lang w:eastAsia="zh-CN"/>
        </w:rPr>
      </w:r>
      <w:r/>
    </w:p>
    <w:p>
      <w:pPr>
        <w:pStyle w:val="1070"/>
        <w:jc w:val="center"/>
        <w:spacing w:line="360" w:lineRule="auto"/>
        <w:rPr>
          <w:b/>
          <w:sz w:val="24"/>
        </w:rPr>
        <w:outlineLvl w:val="0"/>
      </w:pPr>
      <w:r>
        <w:rPr>
          <w:b/>
          <w:sz w:val="36"/>
          <w:szCs w:val="36"/>
        </w:rPr>
        <w:t xml:space="preserve">第六章   响应文件格式</w:t>
      </w:r>
      <w:bookmarkEnd w:id="541"/>
      <w:r>
        <w:rPr>
          <w:b/>
          <w:sz w:val="24"/>
        </w:rPr>
      </w:r>
      <w:r/>
    </w:p>
    <w:p>
      <w:pPr>
        <w:pStyle w:val="1070"/>
        <w:jc w:val="left"/>
        <w:spacing w:line="360" w:lineRule="auto"/>
        <w:widowControl/>
        <w:rPr>
          <w:b/>
          <w:sz w:val="24"/>
        </w:rPr>
      </w:pPr>
      <w:r>
        <w:rPr>
          <w:b/>
          <w:sz w:val="24"/>
        </w:rPr>
      </w:r>
      <w:r/>
    </w:p>
    <w:p>
      <w:pPr>
        <w:pStyle w:val="1070"/>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70"/>
        <w:ind w:firstLine="480"/>
        <w:spacing w:line="400" w:lineRule="exact"/>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供应商按照本部分的顺序编制响应文件，编制中涉及格式资料的，应按照本部分提供的内容和格式（所有表格的格式可扩展）填写提交。 </w:t>
      </w:r>
      <w:r>
        <w:rPr>
          <w:rFonts w:hint="eastAsia" w:ascii="宋体" w:hAnsi="宋体" w:cs="宋体"/>
          <w:sz w:val="24"/>
        </w:rPr>
      </w:r>
      <w:r/>
    </w:p>
    <w:p>
      <w:pPr>
        <w:pStyle w:val="1070"/>
        <w:ind w:firstLine="480"/>
        <w:spacing w:line="400" w:lineRule="exact"/>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对于竞争性磋商文件中标记了</w:t>
      </w:r>
      <w:r>
        <w:rPr>
          <w:rFonts w:ascii="宋体" w:hAnsi="宋体" w:cs="宋体"/>
          <w:sz w:val="24"/>
        </w:rPr>
        <w:t xml:space="preserve">“</w:t>
      </w:r>
      <w:r>
        <w:rPr>
          <w:rFonts w:hint="eastAsia" w:ascii="宋体" w:hAnsi="宋体" w:cs="宋体"/>
          <w:sz w:val="24"/>
        </w:rPr>
        <w:t xml:space="preserve">实质性格式</w:t>
      </w:r>
      <w:r>
        <w:rPr>
          <w:rFonts w:ascii="宋体" w:hAnsi="宋体" w:cs="宋体"/>
          <w:sz w:val="24"/>
        </w:rPr>
        <w:t xml:space="preserve">”</w:t>
      </w:r>
      <w:r>
        <w:rPr>
          <w:rFonts w:hint="eastAsia" w:ascii="宋体" w:hAnsi="宋体" w:cs="宋体"/>
          <w:sz w:val="24"/>
        </w:rPr>
        <w:t xml:space="preserve">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ascii="宋体" w:hAnsi="宋体" w:cs="宋体"/>
          <w:sz w:val="24"/>
        </w:rPr>
        <w:t xml:space="preserve">“</w:t>
      </w:r>
      <w:r>
        <w:rPr>
          <w:rFonts w:hint="eastAsia" w:ascii="宋体" w:hAnsi="宋体" w:cs="宋体"/>
          <w:sz w:val="24"/>
        </w:rPr>
        <w:t xml:space="preserve">实质性格式</w:t>
      </w:r>
      <w:r>
        <w:rPr>
          <w:rFonts w:ascii="宋体" w:hAnsi="宋体" w:cs="宋体"/>
          <w:sz w:val="24"/>
        </w:rPr>
        <w:t xml:space="preserve">”</w:t>
      </w:r>
      <w:r>
        <w:rPr>
          <w:rFonts w:hint="eastAsia" w:ascii="宋体" w:hAnsi="宋体" w:cs="宋体"/>
          <w:sz w:val="24"/>
        </w:rPr>
        <w:t xml:space="preserve">的文件和竞争性磋商文件未提供格式的内容，可由供应商自行编写。</w:t>
      </w:r>
      <w:r>
        <w:rPr>
          <w:rFonts w:hint="eastAsia" w:ascii="宋体" w:hAnsi="宋体" w:cs="宋体"/>
          <w:sz w:val="24"/>
        </w:rPr>
      </w:r>
      <w:r/>
    </w:p>
    <w:p>
      <w:pPr>
        <w:pStyle w:val="1070"/>
        <w:ind w:firstLine="480"/>
        <w:spacing w:line="400" w:lineRule="exact"/>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全部声明和问题的回答及所附材料必须是真实的、准确的和完整的。 </w:t>
      </w:r>
      <w:r>
        <w:rPr>
          <w:rFonts w:hint="eastAsia" w:ascii="宋体" w:hAnsi="宋体" w:cs="宋体"/>
          <w:sz w:val="24"/>
        </w:rPr>
      </w:r>
      <w:r/>
    </w:p>
    <w:p>
      <w:pPr>
        <w:pStyle w:val="1070"/>
        <w:ind w:firstLine="480"/>
        <w:spacing w:line="400" w:lineRule="exact"/>
        <w:rPr>
          <w:rFonts w:hint="eastAsia" w:ascii="宋体" w:hAnsi="宋体" w:cs="宋体"/>
          <w:sz w:val="24"/>
        </w:rPr>
      </w:pPr>
      <w:r>
        <w:rPr>
          <w:rFonts w:hint="eastAsia" w:ascii="宋体" w:hAnsi="宋体" w:cs="宋体"/>
          <w:sz w:val="24"/>
          <w:lang w:eastAsia="zh-CN"/>
        </w:rPr>
        <w:t xml:space="preserve">4.</w:t>
      </w:r>
      <w:r>
        <w:rPr>
          <w:rFonts w:hint="eastAsia" w:ascii="宋体" w:hAnsi="宋体" w:cs="宋体"/>
          <w:sz w:val="24"/>
        </w:rPr>
        <w:t xml:space="preserve">本项目实行电子化不见面交易方式，响应文件中加盖公章、签名等均通过响应文件编制工具加盖电子公章、签字或印鉴。本处所指的公章是指法定名称章，不包括合同专用章、业务专用章等印章。 </w:t>
      </w:r>
      <w:r>
        <w:rPr>
          <w:rFonts w:hint="eastAsia" w:ascii="宋体" w:hAnsi="宋体" w:cs="宋体"/>
          <w:sz w:val="24"/>
        </w:rPr>
      </w:r>
      <w:r/>
    </w:p>
    <w:p>
      <w:pPr>
        <w:pStyle w:val="1070"/>
        <w:ind w:firstLine="480"/>
        <w:spacing w:line="400" w:lineRule="exact"/>
        <w:rPr>
          <w:rFonts w:hint="eastAsia"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提供相关材料复印件的须加盖供应商公章，且复印件内容应清晰可辨，必要时磋商小组有权要求提供原件或公证件进行核对。</w:t>
      </w:r>
      <w:r>
        <w:rPr>
          <w:rFonts w:hint="eastAsia" w:ascii="宋体" w:hAnsi="宋体" w:cs="宋体"/>
          <w:sz w:val="24"/>
        </w:rPr>
      </w:r>
      <w:r/>
    </w:p>
    <w:p>
      <w:pPr>
        <w:pStyle w:val="1070"/>
        <w:ind w:left="142"/>
        <w:spacing w:line="360" w:lineRule="auto"/>
        <w:tabs>
          <w:tab w:val="left" w:pos="900" w:leader="none"/>
          <w:tab w:val="left" w:pos="1980" w:leader="none"/>
        </w:tabs>
        <w:rPr>
          <w:sz w:val="24"/>
        </w:rPr>
      </w:pPr>
      <w:r>
        <w:rPr>
          <w:sz w:val="24"/>
        </w:rPr>
      </w:r>
      <w:r/>
    </w:p>
    <w:p>
      <w:pPr>
        <w:pStyle w:val="1070"/>
        <w:ind w:left="142"/>
        <w:spacing w:line="360" w:lineRule="auto"/>
        <w:tabs>
          <w:tab w:val="left" w:pos="900" w:leader="none"/>
          <w:tab w:val="left" w:pos="1980" w:leader="none"/>
        </w:tabs>
        <w:rPr>
          <w:sz w:val="24"/>
        </w:rPr>
      </w:pPr>
      <w:r>
        <w:rPr>
          <w:sz w:val="24"/>
        </w:rPr>
      </w:r>
      <w:r/>
    </w:p>
    <w:p>
      <w:pPr>
        <w:pStyle w:val="1070"/>
        <w:jc w:val="left"/>
        <w:widowControl/>
        <w:rPr>
          <w:b/>
          <w:sz w:val="24"/>
        </w:rPr>
      </w:pPr>
      <w:r>
        <w:rPr>
          <w:sz w:val="24"/>
        </w:rPr>
        <w:br w:type="page" w:clear="all"/>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b/>
          <w:spacing w:val="20"/>
          <w:sz w:val="24"/>
        </w:rPr>
        <w:t xml:space="preserve">响应文件</w:t>
      </w:r>
      <w:r>
        <w:rPr>
          <w:b/>
          <w:sz w:val="24"/>
        </w:rPr>
        <w:t xml:space="preserve">封面（非实质性格式）</w:t>
      </w:r>
      <w:r>
        <w:rPr>
          <w:b/>
          <w:sz w:val="24"/>
        </w:rPr>
      </w:r>
      <w:r/>
    </w:p>
    <w:p>
      <w:pPr>
        <w:pStyle w:val="1070"/>
        <w:jc w:val="center"/>
        <w:rPr>
          <w:szCs w:val="21"/>
        </w:rPr>
      </w:pPr>
      <w:r>
        <w:rPr>
          <w:szCs w:val="21"/>
        </w:rPr>
      </w:r>
      <w:r/>
    </w:p>
    <w:p>
      <w:pPr>
        <w:pStyle w:val="1070"/>
        <w:jc w:val="center"/>
        <w:rPr>
          <w:b/>
          <w:spacing w:val="60"/>
          <w:sz w:val="84"/>
          <w:szCs w:val="84"/>
        </w:rPr>
      </w:pPr>
      <w:r>
        <w:rPr>
          <w:b/>
          <w:spacing w:val="60"/>
          <w:sz w:val="84"/>
          <w:szCs w:val="84"/>
        </w:rPr>
        <w:t xml:space="preserve">响 应 文 件</w:t>
      </w:r>
      <w:r>
        <w:rPr>
          <w:b/>
          <w:spacing w:val="60"/>
          <w:sz w:val="84"/>
          <w:szCs w:val="84"/>
        </w:rPr>
      </w:r>
      <w:r/>
    </w:p>
    <w:p>
      <w:pPr>
        <w:pStyle w:val="1070"/>
        <w:jc w:val="center"/>
        <w:rPr>
          <w:b/>
          <w:spacing w:val="60"/>
          <w:sz w:val="52"/>
          <w:szCs w:val="52"/>
        </w:rPr>
      </w:pPr>
      <w:r>
        <w:rPr>
          <w:b/>
          <w:spacing w:val="60"/>
          <w:sz w:val="52"/>
          <w:szCs w:val="52"/>
        </w:rPr>
      </w:r>
      <w:r/>
    </w:p>
    <w:p>
      <w:pPr>
        <w:pStyle w:val="1070"/>
        <w:ind w:firstLine="542"/>
        <w:rPr>
          <w:b/>
          <w:spacing w:val="20"/>
          <w:sz w:val="32"/>
          <w:szCs w:val="32"/>
        </w:rPr>
      </w:pPr>
      <w:r>
        <w:rPr>
          <w:b/>
          <w:spacing w:val="20"/>
          <w:sz w:val="32"/>
          <w:szCs w:val="32"/>
        </w:rPr>
      </w:r>
      <w:r/>
    </w:p>
    <w:p>
      <w:pPr>
        <w:pStyle w:val="1070"/>
        <w:ind w:firstLine="542"/>
        <w:rPr>
          <w:b/>
          <w:spacing w:val="20"/>
          <w:sz w:val="32"/>
          <w:szCs w:val="32"/>
        </w:rPr>
      </w:pPr>
      <w:r>
        <w:rPr>
          <w:b/>
          <w:spacing w:val="20"/>
          <w:sz w:val="32"/>
          <w:szCs w:val="32"/>
        </w:rPr>
      </w:r>
      <w:r/>
    </w:p>
    <w:p>
      <w:pPr>
        <w:pStyle w:val="107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0"/>
        <w:jc w:val="center"/>
        <w:rPr>
          <w:b/>
          <w:sz w:val="32"/>
          <w:szCs w:val="32"/>
        </w:rPr>
      </w:pPr>
      <w:r>
        <w:rPr>
          <w:b/>
          <w:sz w:val="32"/>
          <w:szCs w:val="32"/>
        </w:rPr>
      </w:r>
      <w:r/>
    </w:p>
    <w:p>
      <w:pPr>
        <w:pStyle w:val="1070"/>
        <w:rPr>
          <w:rFonts w:hint="eastAsia"/>
          <w:b/>
        </w:rPr>
      </w:pPr>
      <w:r>
        <w:rPr>
          <w:b/>
          <w:spacing w:val="20"/>
          <w:sz w:val="32"/>
          <w:szCs w:val="32"/>
        </w:rPr>
        <w:br w:type="page" w:clear="all"/>
      </w:r>
      <w:r>
        <w:rPr>
          <w:rFonts w:hint="eastAsia"/>
          <w:b/>
          <w:spacing w:val="20"/>
          <w:sz w:val="32"/>
          <w:szCs w:val="32"/>
        </w:rPr>
        <w:t xml:space="preserve">目录（格式自拟）</w:t>
      </w:r>
      <w:r>
        <w:rPr>
          <w:rFonts w:hint="eastAsia"/>
          <w:b/>
        </w:rPr>
      </w:r>
      <w:r/>
    </w:p>
    <w:p>
      <w:pPr>
        <w:pStyle w:val="1070"/>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073"/>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07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0"/>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92"/>
        <w:ind w:firstLine="480"/>
        <w:spacing w:line="460" w:lineRule="exact"/>
      </w:pPr>
      <w:r/>
      <w:r/>
    </w:p>
    <w:p>
      <w:pPr>
        <w:pStyle w:val="1092"/>
        <w:ind w:firstLine="480"/>
        <w:spacing w:line="460" w:lineRule="exact"/>
      </w:pPr>
      <w:r>
        <w:rPr>
          <w:rFonts w:hint="eastAsia"/>
        </w:rPr>
        <w:t xml:space="preserve">致：江苏苏南项目管理有限公司</w:t>
      </w:r>
      <w:r/>
    </w:p>
    <w:p>
      <w:pPr>
        <w:pStyle w:val="1092"/>
        <w:ind w:firstLine="960"/>
        <w:spacing w:line="460" w:lineRule="exact"/>
        <w:rPr>
          <w:u w:val="single"/>
        </w:rPr>
      </w:pPr>
      <w:r>
        <w:rPr>
          <w:rFonts w:hint="eastAsia"/>
          <w:u w:val="single"/>
        </w:rPr>
        <w:t xml:space="preserve">（采购人名称）</w:t>
      </w:r>
      <w:r>
        <w:rPr>
          <w:u w:val="single"/>
        </w:rPr>
      </w:r>
      <w:r/>
    </w:p>
    <w:p>
      <w:pPr>
        <w:pStyle w:val="1092"/>
        <w:ind w:firstLine="480"/>
        <w:spacing w:line="460" w:lineRule="exact"/>
      </w:pPr>
      <w:r/>
      <w:r/>
    </w:p>
    <w:p>
      <w:pPr>
        <w:pStyle w:val="1092"/>
        <w:ind w:firstLine="480"/>
        <w:spacing w:line="460" w:lineRule="exact"/>
      </w:pPr>
      <w:r>
        <w:rPr>
          <w:rFonts w:hint="eastAsia"/>
        </w:rPr>
        <w:t xml:space="preserve">按照《中华人民共和国政府采购法》第二十二条和磋商文件的规定，我单位郑重声明如下：</w:t>
      </w:r>
      <w:r/>
    </w:p>
    <w:p>
      <w:pPr>
        <w:pStyle w:val="109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92"/>
        <w:ind w:firstLine="480"/>
        <w:spacing w:line="460" w:lineRule="exact"/>
      </w:pPr>
      <w:r>
        <w:rPr>
          <w:rFonts w:hint="eastAsia"/>
        </w:rPr>
        <w:t xml:space="preserve">二、我单位未被“</w:t>
      </w:r>
      <w:r>
        <w:rPr>
          <w:rFonts w:hint="eastAsia"/>
          <w:lang w:eastAsia="zh-CN"/>
        </w:rPr>
        <w:t xml:space="preserve">国家企业信用信息公示系统</w:t>
      </w:r>
      <w:r>
        <w:rPr>
          <w:rFonts w:hint="eastAsia"/>
        </w:rPr>
        <w:t xml:space="preserve">”列入经营异常名录或者严重违法企业名单。</w:t>
      </w:r>
      <w:r/>
    </w:p>
    <w:p>
      <w:pPr>
        <w:pStyle w:val="1092"/>
        <w:ind w:firstLine="480"/>
        <w:spacing w:line="460" w:lineRule="exact"/>
      </w:pPr>
      <w:r>
        <w:rPr>
          <w:rFonts w:hint="eastAsia"/>
        </w:rPr>
        <w:t xml:space="preserve">三、我单位具有良好的商业信誉（指供应商经营状况良好，无本资格声明第十条情形）和健全的财务会计制度。</w:t>
      </w:r>
      <w:r/>
    </w:p>
    <w:p>
      <w:pPr>
        <w:pStyle w:val="1092"/>
        <w:ind w:firstLine="480"/>
        <w:spacing w:line="460" w:lineRule="exact"/>
      </w:pPr>
      <w:r>
        <w:rPr>
          <w:rFonts w:hint="eastAsia"/>
        </w:rPr>
        <w:t xml:space="preserve">四、我单位依法进行纳税和社会保险申报并实际履行了义务。</w:t>
      </w:r>
      <w:r/>
    </w:p>
    <w:p>
      <w:pPr>
        <w:pStyle w:val="1092"/>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92"/>
        <w:ind w:firstLine="480"/>
        <w:spacing w:line="460" w:lineRule="exact"/>
      </w:pPr>
      <w:r>
        <w:rPr>
          <w:rFonts w:hint="eastAsia"/>
        </w:rPr>
        <w:t xml:space="preserve">主要设备有：</w:t>
      </w:r>
      <w:r>
        <w:rPr>
          <w:u w:val="single"/>
        </w:rPr>
        <w:t xml:space="preserve">            </w:t>
      </w:r>
      <w:r/>
    </w:p>
    <w:p>
      <w:pPr>
        <w:pStyle w:val="1092"/>
        <w:ind w:firstLine="480"/>
        <w:spacing w:line="460" w:lineRule="exact"/>
      </w:pPr>
      <w:r>
        <w:rPr>
          <w:rFonts w:hint="eastAsia"/>
        </w:rPr>
        <w:t xml:space="preserve">主要专业技术能力有</w:t>
      </w:r>
      <w:r>
        <w:rPr>
          <w:rFonts w:hint="eastAsia"/>
          <w:u w:val="single"/>
        </w:rPr>
        <w:t xml:space="preserve">                 </w:t>
      </w:r>
      <w:r/>
    </w:p>
    <w:p>
      <w:pPr>
        <w:pStyle w:val="1092"/>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的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92"/>
        <w:ind w:firstLine="480"/>
        <w:spacing w:line="460" w:lineRule="exact"/>
      </w:pPr>
      <w:r>
        <w:rPr>
          <w:rFonts w:hint="eastAsia"/>
        </w:rPr>
        <w:t xml:space="preserve">七、我单位具备法律、行政法规规定的其他条件。</w:t>
      </w:r>
      <w:r/>
    </w:p>
    <w:p>
      <w:pPr>
        <w:pStyle w:val="1092"/>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92"/>
        <w:ind w:firstLine="480"/>
        <w:spacing w:line="460" w:lineRule="exact"/>
      </w:pPr>
      <w:r>
        <w:rPr>
          <w:rFonts w:hint="eastAsia"/>
          <w:lang w:eastAsia="zh-CN"/>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1092"/>
        <w:ind w:firstLine="480"/>
        <w:spacing w:line="460" w:lineRule="exact"/>
      </w:pPr>
      <w:r>
        <w:rPr>
          <w:rFonts w:hint="eastAsia"/>
          <w:lang w:eastAsia="zh-CN"/>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1092"/>
        <w:ind w:firstLine="480"/>
        <w:spacing w:line="460" w:lineRule="exact"/>
      </w:pPr>
      <w:r>
        <w:rPr>
          <w:rFonts w:hint="eastAsia"/>
          <w:lang w:eastAsia="zh-CN"/>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1092"/>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92"/>
        <w:ind w:firstLine="480"/>
        <w:spacing w:line="460" w:lineRule="exact"/>
      </w:pPr>
      <w:r>
        <w:rPr>
          <w:rFonts w:hint="eastAsia"/>
        </w:rPr>
        <w:t xml:space="preserve">十、</w:t>
      </w:r>
      <w:r>
        <w:t xml:space="preserve">我单位无以下不良信用记录情形：</w:t>
      </w:r>
      <w:r/>
    </w:p>
    <w:p>
      <w:pPr>
        <w:pStyle w:val="1092"/>
        <w:ind w:firstLine="480"/>
        <w:spacing w:line="460" w:lineRule="exact"/>
      </w:pPr>
      <w:r>
        <w:rPr>
          <w:rFonts w:hint="eastAsia"/>
          <w:lang w:eastAsia="zh-CN"/>
        </w:rPr>
        <w:t xml:space="preserve">1.</w:t>
      </w:r>
      <w:r>
        <w:rPr>
          <w:rFonts w:hint="eastAsia"/>
        </w:rPr>
        <w:t xml:space="preserve">在“信用中国”网站被列入失信被执行人和重大税收违法案件当事人名单；</w:t>
      </w:r>
      <w:r/>
    </w:p>
    <w:p>
      <w:pPr>
        <w:pStyle w:val="1092"/>
        <w:ind w:firstLine="480"/>
        <w:spacing w:line="460" w:lineRule="exact"/>
      </w:pPr>
      <w:r>
        <w:rPr>
          <w:rFonts w:hint="eastAsia"/>
          <w:lang w:eastAsia="zh-CN"/>
        </w:rPr>
        <w:t xml:space="preserve">2.</w:t>
      </w:r>
      <w:r>
        <w:rPr>
          <w:rFonts w:hint="eastAsia"/>
        </w:rPr>
        <w:t xml:space="preserve">在“中国政府采购网”网站被列入政府采购严重违法失信行为记录名单；</w:t>
      </w:r>
      <w:r/>
    </w:p>
    <w:p>
      <w:pPr>
        <w:pStyle w:val="1092"/>
        <w:ind w:firstLine="480"/>
        <w:spacing w:line="460" w:lineRule="exact"/>
      </w:pPr>
      <w:r>
        <w:rPr>
          <w:rFonts w:hint="eastAsia"/>
          <w:lang w:eastAsia="zh-CN"/>
        </w:rPr>
        <w:t xml:space="preserve">3.</w:t>
      </w:r>
      <w:r>
        <w:t xml:space="preserve">不符合《</w:t>
      </w:r>
      <w:r>
        <w:rPr>
          <w:rFonts w:hint="eastAsia"/>
          <w:lang w:eastAsia="zh-CN"/>
        </w:rPr>
        <w:t xml:space="preserve">中华人民共和国政府采购法</w:t>
      </w:r>
      <w:r>
        <w:t xml:space="preserve">》第二十二条规定的条件。</w:t>
      </w:r>
      <w:r/>
    </w:p>
    <w:p>
      <w:pPr>
        <w:pStyle w:val="1092"/>
        <w:ind w:firstLine="480"/>
        <w:spacing w:line="460" w:lineRule="exact"/>
      </w:pPr>
      <w:r/>
      <w:r/>
    </w:p>
    <w:p>
      <w:pPr>
        <w:pStyle w:val="109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92"/>
        <w:ind w:firstLine="480"/>
        <w:spacing w:line="460" w:lineRule="exact"/>
      </w:pPr>
      <w:r/>
      <w:r/>
    </w:p>
    <w:p>
      <w:pPr>
        <w:pStyle w:val="1092"/>
        <w:ind w:firstLine="480"/>
        <w:spacing w:line="460" w:lineRule="exact"/>
      </w:pPr>
      <w:r/>
      <w:r/>
    </w:p>
    <w:p>
      <w:pPr>
        <w:pStyle w:val="1092"/>
        <w:ind w:firstLine="480"/>
        <w:spacing w:line="460" w:lineRule="exact"/>
      </w:pPr>
      <w:r>
        <w:rPr>
          <w:rFonts w:hint="eastAsia"/>
        </w:rPr>
        <w:t xml:space="preserve">                                            供应商：（加盖公章）</w:t>
      </w:r>
      <w:r/>
    </w:p>
    <w:p>
      <w:pPr>
        <w:pStyle w:val="1092"/>
        <w:ind w:firstLine="480"/>
        <w:spacing w:line="460" w:lineRule="exact"/>
      </w:pPr>
      <w:r>
        <w:rPr>
          <w:rFonts w:hint="eastAsia"/>
        </w:rPr>
        <w:t xml:space="preserve">                                           法定代表人（或单位负责人）签字或盖章：</w:t>
      </w:r>
      <w:r/>
    </w:p>
    <w:p>
      <w:pPr>
        <w:pStyle w:val="1092"/>
        <w:ind w:firstLine="4920"/>
        <w:spacing w:line="460" w:lineRule="exact"/>
        <w:rPr>
          <w:rFonts w:hint="eastAsia"/>
        </w:rPr>
      </w:pPr>
      <w:r>
        <w:rPr>
          <w:rFonts w:hint="eastAsia"/>
        </w:rPr>
        <w:t xml:space="preserve">日期：    年    月    日</w:t>
      </w:r>
      <w:r>
        <w:rPr>
          <w:rFonts w:hint="eastAsia"/>
        </w:rPr>
      </w:r>
      <w:r/>
    </w:p>
    <w:p>
      <w:pPr>
        <w:pStyle w:val="1070"/>
        <w:spacing w:line="360" w:lineRule="auto"/>
        <w:rPr>
          <w:rFonts w:hint="eastAsia"/>
          <w:sz w:val="24"/>
        </w:rPr>
      </w:pPr>
      <w:r>
        <w:rPr>
          <w:rFonts w:hint="eastAsia"/>
          <w:sz w:val="24"/>
        </w:rPr>
      </w:r>
      <w:r/>
    </w:p>
    <w:p>
      <w:pPr>
        <w:pStyle w:val="1070"/>
        <w:spacing w:line="360" w:lineRule="auto"/>
        <w:rPr>
          <w:rFonts w:hint="eastAsia"/>
          <w:sz w:val="24"/>
        </w:rPr>
      </w:pPr>
      <w:r>
        <w:rPr>
          <w:rFonts w:hint="eastAsia"/>
          <w:sz w:val="24"/>
        </w:rPr>
      </w:r>
      <w:r/>
    </w:p>
    <w:p>
      <w:pPr>
        <w:pStyle w:val="1070"/>
        <w:spacing w:line="360" w:lineRule="auto"/>
        <w:rPr>
          <w:rFonts w:hint="eastAsia"/>
          <w:sz w:val="24"/>
        </w:rPr>
      </w:pPr>
      <w:r>
        <w:rPr>
          <w:rFonts w:hint="eastAsia"/>
          <w:sz w:val="24"/>
        </w:rPr>
      </w:r>
      <w:r/>
    </w:p>
    <w:p>
      <w:pPr>
        <w:pStyle w:val="1070"/>
        <w:spacing w:line="360" w:lineRule="auto"/>
        <w:rPr>
          <w:rFonts w:hint="eastAsia"/>
          <w:sz w:val="24"/>
        </w:rPr>
        <w:sectPr>
          <w:footerReference w:type="default" r:id="rId17"/>
          <w:footerReference w:type="first" r:id="rId18"/>
          <w:footnotePr/>
          <w:endnotePr/>
          <w:type w:val="nextPage"/>
          <w:pgSz w:w="11905" w:h="16838" w:orient="portrait"/>
          <w:pgMar w:top="1417" w:right="1134" w:bottom="1417" w:left="1134" w:header="851" w:footer="850" w:gutter="0"/>
          <w:cols w:num="1" w:sep="0" w:space="1701" w:equalWidth="1"/>
          <w:docGrid w:linePitch="360"/>
          <w:titlePg/>
        </w:sect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rFonts w:hint="eastAsia"/>
          <w:sz w:val="24"/>
        </w:rPr>
      </w:r>
      <w:r/>
    </w:p>
    <w:p>
      <w:pPr>
        <w:pStyle w:val="1070"/>
        <w:spacing w:line="360" w:lineRule="auto"/>
        <w:rPr>
          <w:color w:val="000000"/>
          <w:sz w:val="24"/>
          <w:szCs w:val="20"/>
        </w:rPr>
        <w:outlineLvl w:val="2"/>
      </w:pPr>
      <w:r/>
      <w:bookmarkStart w:id="542" w:name="_Toc264969247"/>
      <w:r/>
      <w:bookmarkStart w:id="543" w:name="_Ref467988705"/>
      <w:r/>
      <w:bookmarkStart w:id="544" w:name="_Toc305158899"/>
      <w:r/>
      <w:bookmarkStart w:id="545" w:name="_Toc480942350"/>
      <w:r/>
      <w:bookmarkStart w:id="546" w:name="_Toc226337253"/>
      <w:r/>
      <w:bookmarkStart w:id="547" w:name="_Toc150480795"/>
      <w:r/>
      <w:bookmarkStart w:id="548" w:name="_Toc265228395"/>
      <w:r/>
      <w:bookmarkStart w:id="549" w:name="_Toc150774762"/>
      <w:r/>
      <w:bookmarkStart w:id="550" w:name="_Toc226965747"/>
      <w:r/>
      <w:bookmarkStart w:id="551" w:name="_Toc520356218"/>
      <w:r/>
      <w:bookmarkStart w:id="552" w:name="_Toc305158825"/>
      <w:r/>
      <w:bookmarkStart w:id="553" w:name="_Toc226965830"/>
      <w:r/>
      <w:bookmarkStart w:id="554" w:name="_Toc195842922"/>
      <w:r/>
      <w:bookmarkStart w:id="555" w:name="_Toc142311059"/>
      <w:r/>
      <w:bookmarkStart w:id="556" w:name="_Toc127151557"/>
      <w:r/>
      <w:bookmarkStart w:id="557" w:name="_Toc226309801"/>
      <w:r>
        <w:rPr>
          <w:rFonts w:hint="eastAsia"/>
          <w:color w:val="000000"/>
          <w:sz w:val="24"/>
        </w:rPr>
        <w:t xml:space="preserve">2</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070"/>
        <w:spacing w:line="360" w:lineRule="auto"/>
        <w:tabs>
          <w:tab w:val="left" w:pos="5580" w:leader="none"/>
        </w:tabs>
        <w:rPr>
          <w:color w:val="000000"/>
          <w:sz w:val="24"/>
        </w:rPr>
      </w:pPr>
      <w:r>
        <w:rPr>
          <w:color w:val="000000"/>
          <w:sz w:val="24"/>
        </w:rPr>
      </w:r>
      <w:r/>
    </w:p>
    <w:p>
      <w:pPr>
        <w:pStyle w:val="1070"/>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70"/>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70"/>
        <w:spacing w:line="360" w:lineRule="auto"/>
        <w:tabs>
          <w:tab w:val="left" w:pos="5580" w:leader="none"/>
        </w:tabs>
        <w:rPr>
          <w:color w:val="000000"/>
          <w:sz w:val="24"/>
          <w:szCs w:val="20"/>
        </w:rPr>
      </w:pPr>
      <w:r>
        <w:rPr>
          <w:color w:val="000000"/>
          <w:sz w:val="24"/>
          <w:szCs w:val="20"/>
        </w:rPr>
      </w:r>
      <w:r/>
    </w:p>
    <w:p>
      <w:pPr>
        <w:pStyle w:val="1070"/>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70"/>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70"/>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70"/>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70"/>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70"/>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70"/>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70"/>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70"/>
        <w:ind w:left="420"/>
        <w:spacing w:line="360" w:lineRule="auto"/>
        <w:tabs>
          <w:tab w:val="left" w:pos="5580" w:leader="none"/>
        </w:tabs>
        <w:rPr>
          <w:color w:val="000000"/>
          <w:sz w:val="24"/>
          <w:szCs w:val="20"/>
        </w:rPr>
      </w:pPr>
      <w:r>
        <w:rPr>
          <w:color w:val="000000"/>
          <w:sz w:val="24"/>
          <w:szCs w:val="20"/>
        </w:rPr>
      </w:r>
      <w:r/>
    </w:p>
    <w:p>
      <w:pPr>
        <w:pStyle w:val="1070"/>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70"/>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70"/>
        <w:ind w:left="420"/>
        <w:spacing w:line="360" w:lineRule="auto"/>
        <w:tabs>
          <w:tab w:val="left" w:pos="5580" w:leader="none"/>
        </w:tabs>
        <w:rPr>
          <w:color w:val="000000"/>
          <w:sz w:val="24"/>
          <w:szCs w:val="20"/>
        </w:rPr>
      </w:pPr>
      <w:r>
        <w:rPr>
          <w:color w:val="000000"/>
          <w:sz w:val="24"/>
          <w:szCs w:val="20"/>
        </w:rPr>
      </w:r>
      <w:r/>
    </w:p>
    <w:p>
      <w:pPr>
        <w:pStyle w:val="1070"/>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70"/>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70"/>
        <w:ind w:left="420"/>
        <w:spacing w:line="360" w:lineRule="auto"/>
        <w:tabs>
          <w:tab w:val="left" w:pos="5580" w:leader="none"/>
        </w:tabs>
        <w:rPr>
          <w:color w:val="000000"/>
          <w:sz w:val="24"/>
          <w:szCs w:val="20"/>
          <w:u w:val="single"/>
        </w:rPr>
      </w:pPr>
      <w:r>
        <w:rPr>
          <w:color w:val="000000"/>
          <w:sz w:val="24"/>
          <w:szCs w:val="20"/>
          <w:u w:val="single"/>
        </w:rPr>
      </w:r>
      <w:r/>
    </w:p>
    <w:p>
      <w:pPr>
        <w:pStyle w:val="1070"/>
        <w:jc w:val="left"/>
        <w:widowControl/>
        <w:rPr>
          <w:rFonts w:hint="eastAsia"/>
          <w:color w:val="000000"/>
          <w:sz w:val="24"/>
        </w:rPr>
      </w:pPr>
      <w:r/>
      <w:bookmarkStart w:id="558" w:name="_Hlt520356243"/>
      <w:r/>
      <w:bookmarkEnd w:id="558"/>
      <w:r/>
      <w:bookmarkStart w:id="559" w:name="_Hlt520355938"/>
      <w:r/>
      <w:bookmarkEnd w:id="559"/>
      <w:r>
        <w:rPr>
          <w:color w:val="000000"/>
          <w:sz w:val="24"/>
        </w:rPr>
        <w:br w:type="page" w:clear="all"/>
      </w:r>
      <w:r>
        <w:rPr>
          <w:rFonts w:hint="eastAsia"/>
          <w:color w:val="000000"/>
          <w:sz w:val="24"/>
          <w:lang w:val="en-US" w:eastAsia="zh-CN"/>
        </w:rPr>
        <w:t xml:space="preserve">3</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070"/>
        <w:jc w:val="left"/>
        <w:widowControl/>
        <w:rPr>
          <w:rFonts w:hint="eastAsia"/>
          <w:color w:val="000000"/>
          <w:sz w:val="24"/>
        </w:rPr>
      </w:pPr>
      <w:r>
        <w:rPr>
          <w:rFonts w:hint="eastAsia"/>
          <w:color w:val="000000"/>
          <w:sz w:val="24"/>
          <w:lang w:val="en-US" w:eastAsia="zh-CN"/>
        </w:rPr>
        <w:t xml:space="preserve">3</w:t>
      </w:r>
      <w:r>
        <w:rPr>
          <w:rFonts w:hint="eastAsia"/>
          <w:color w:val="000000"/>
          <w:sz w:val="24"/>
        </w:rPr>
        <w:t xml:space="preserve">-1法定代表人资格证明书</w:t>
      </w:r>
      <w:r>
        <w:rPr>
          <w:color w:val="000000"/>
          <w:sz w:val="24"/>
          <w:szCs w:val="20"/>
        </w:rPr>
        <w:t xml:space="preserve">（实质性格式）</w:t>
      </w:r>
      <w:r>
        <w:rPr>
          <w:rFonts w:hint="eastAsia"/>
          <w:color w:val="000000"/>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0"/>
        <w:spacing w:line="560" w:lineRule="exact"/>
        <w:rPr>
          <w:rFonts w:ascii="宋体" w:hAnsi="宋体"/>
          <w:sz w:val="24"/>
        </w:rPr>
      </w:pPr>
      <w:r>
        <w:rPr>
          <w:rFonts w:ascii="宋体" w:hAnsi="宋体"/>
          <w:sz w:val="24"/>
        </w:rPr>
      </w:r>
      <w:r/>
    </w:p>
    <w:p>
      <w:pPr>
        <w:pStyle w:val="1101"/>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复印</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180"/>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7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0"/>
        <w:jc w:val="left"/>
        <w:widowControl/>
        <w:rPr>
          <w:rFonts w:hint="eastAsia"/>
          <w:color w:val="000000"/>
          <w:sz w:val="24"/>
        </w:rPr>
      </w:pPr>
      <w:r>
        <w:rPr>
          <w:rFonts w:hint="eastAsia"/>
          <w:color w:val="000000"/>
          <w:sz w:val="24"/>
        </w:rPr>
      </w:r>
      <w:r/>
    </w:p>
    <w:p>
      <w:pPr>
        <w:pStyle w:val="1070"/>
        <w:jc w:val="left"/>
        <w:widowControl/>
        <w:rPr>
          <w:rFonts w:hint="eastAsia"/>
          <w:color w:val="000000"/>
          <w:sz w:val="24"/>
        </w:rPr>
      </w:pPr>
      <w:r>
        <w:rPr>
          <w:rFonts w:hint="eastAsia"/>
          <w:color w:val="000000"/>
          <w:sz w:val="24"/>
        </w:rPr>
      </w:r>
      <w:r/>
    </w:p>
    <w:p>
      <w:pPr>
        <w:pStyle w:val="1070"/>
        <w:jc w:val="left"/>
        <w:widowControl/>
        <w:rPr>
          <w:rFonts w:hint="eastAsia"/>
          <w:color w:val="000000"/>
          <w:sz w:val="24"/>
        </w:rPr>
      </w:pPr>
      <w:r>
        <w:rPr>
          <w:rFonts w:hint="eastAsia"/>
          <w:color w:val="000000"/>
          <w:sz w:val="24"/>
        </w:rPr>
      </w:r>
      <w:r/>
    </w:p>
    <w:p>
      <w:pPr>
        <w:pStyle w:val="1070"/>
        <w:spacing w:line="360" w:lineRule="auto"/>
        <w:rPr>
          <w:rFonts w:hint="eastAsia" w:ascii="宋体" w:hAnsi="宋体" w:cs="宋体"/>
          <w:sz w:val="24"/>
        </w:rPr>
      </w:pPr>
      <w:r>
        <w:rPr>
          <w:rFonts w:hint="eastAsia"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r>
      <w:r/>
    </w:p>
    <w:p>
      <w:pPr>
        <w:pStyle w:val="1138"/>
        <w:ind w:firstLine="480"/>
        <w:rPr>
          <w:rFonts w:hint="eastAsia"/>
        </w:rPr>
      </w:pPr>
      <w:r>
        <w:rPr>
          <w:rFonts w:hint="eastAsia"/>
        </w:rPr>
      </w:r>
      <w:r/>
    </w:p>
    <w:p>
      <w:pPr>
        <w:pStyle w:val="1070"/>
        <w:jc w:val="left"/>
        <w:widowControl/>
        <w:rPr>
          <w:rFonts w:hint="eastAsia"/>
          <w:color w:val="000000"/>
          <w:sz w:val="24"/>
        </w:rPr>
      </w:pPr>
      <w:r>
        <w:rPr>
          <w:rFonts w:hint="eastAsia"/>
          <w:color w:val="000000"/>
          <w:sz w:val="24"/>
          <w:lang w:val="en-US" w:eastAsia="zh-CN"/>
        </w:rPr>
        <w:t xml:space="preserve">3</w:t>
      </w:r>
      <w:r>
        <w:rPr>
          <w:rFonts w:hint="eastAsia"/>
          <w:color w:val="000000"/>
          <w:sz w:val="24"/>
        </w:rPr>
        <w:t xml:space="preserve">-2授权委托书（实质性格式）</w:t>
      </w:r>
      <w:r>
        <w:rPr>
          <w:rFonts w:hint="eastAsia"/>
          <w:color w:val="000000"/>
          <w:sz w:val="24"/>
        </w:rPr>
      </w:r>
      <w:r/>
    </w:p>
    <w:p>
      <w:pPr>
        <w:pStyle w:val="1070"/>
        <w:jc w:val="center"/>
        <w:spacing w:line="360" w:lineRule="auto"/>
        <w:rPr>
          <w:rFonts w:hint="eastAsia" w:ascii="宋体" w:hAnsi="宋体" w:cs="宋体"/>
          <w:b/>
          <w:bCs/>
          <w:sz w:val="32"/>
          <w:szCs w:val="32"/>
        </w:rPr>
      </w:pPr>
      <w:r>
        <w:rPr>
          <w:rFonts w:hint="eastAsia" w:ascii="宋体" w:hAnsi="宋体" w:cs="宋体"/>
          <w:b/>
          <w:bCs/>
          <w:sz w:val="32"/>
          <w:szCs w:val="32"/>
        </w:rPr>
        <w:t xml:space="preserve">授权委托书</w:t>
      </w:r>
      <w:r>
        <w:rPr>
          <w:rFonts w:hint="eastAsia" w:ascii="宋体" w:hAnsi="宋体" w:cs="宋体"/>
          <w:b/>
          <w:bCs/>
          <w:sz w:val="32"/>
          <w:szCs w:val="32"/>
        </w:rPr>
      </w:r>
      <w:r/>
    </w:p>
    <w:p>
      <w:pPr>
        <w:pStyle w:val="1070"/>
        <w:spacing w:line="360" w:lineRule="auto"/>
        <w:rPr>
          <w:rFonts w:hint="eastAsia" w:ascii="宋体" w:hAnsi="宋体" w:cs="宋体"/>
          <w:sz w:val="24"/>
        </w:rPr>
      </w:pP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本人_______（姓名）系________________（供应商名称）的法定代表人（单位负责人），现委托_______（姓名）为我方代理人。代理人根据授权，以我方名义签署、澄清确认、递交、撤回、修改________________（项目名称）响应文件和处理有关事宜，其法律后果由我方承担。</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委托期限：自本授权委托书签署之日起至响应有效期届满之日止。</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代理人无转委托权。</w:t>
      </w:r>
      <w:r>
        <w:rPr>
          <w:rFonts w:hint="eastAsia"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供应商名称（加盖公章）：________________</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法定代表人（单位负责人）（签字、签章或印鉴）：________________</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委托代理人（签字/签章）：________________                          </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日期：_____年______月______日</w:t>
      </w:r>
      <w:r>
        <w:rPr>
          <w:rFonts w:hint="eastAsia"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法定代表人（单位负责人）有效期内的身份证正反面复印件：</w:t>
      </w:r>
      <w:r>
        <w:rPr>
          <w:rFonts w:hint="eastAsia" w:ascii="宋体" w:hAnsi="宋体" w:cs="宋体"/>
          <w:sz w:val="24"/>
        </w:rPr>
      </w:r>
      <w:r/>
    </w:p>
    <w:tbl>
      <w:tblPr>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pStyle w:val="1070"/>
              <w:spacing w:line="360" w:lineRule="auto"/>
              <w:rPr>
                <w:rFonts w:hint="eastAsia" w:ascii="宋体" w:hAnsi="宋体" w:cs="宋体"/>
                <w:sz w:val="24"/>
              </w:rPr>
            </w:pPr>
            <w:r>
              <w:rPr>
                <w:rFonts w:hint="eastAsia" w:ascii="宋体" w:hAnsi="宋体" w:cs="宋体"/>
                <w:sz w:val="24"/>
              </w:rPr>
            </w:r>
            <w:r/>
          </w:p>
        </w:tc>
        <w:tc>
          <w:tcPr>
            <w:tcW w:w="4261" w:type="dxa"/>
            <w:vAlign w:val="top"/>
            <w:textDirection w:val="lrTb"/>
            <w:noWrap w:val="false"/>
          </w:tcPr>
          <w:p>
            <w:pPr>
              <w:pStyle w:val="1070"/>
              <w:spacing w:line="360" w:lineRule="auto"/>
              <w:rPr>
                <w:rFonts w:hint="eastAsia" w:ascii="宋体" w:hAnsi="宋体" w:cs="宋体"/>
                <w:sz w:val="24"/>
              </w:rPr>
            </w:pPr>
            <w:r>
              <w:rPr>
                <w:rFonts w:hint="eastAsia" w:ascii="宋体" w:hAnsi="宋体" w:cs="宋体"/>
                <w:sz w:val="24"/>
              </w:rPr>
            </w:r>
            <w:r/>
          </w:p>
        </w:tc>
      </w:tr>
    </w:tbl>
    <w:p>
      <w:pPr>
        <w:pStyle w:val="1070"/>
        <w:ind w:firstLine="480"/>
        <w:spacing w:line="360" w:lineRule="auto"/>
        <w:rPr>
          <w:rFonts w:hint="eastAsia" w:ascii="宋体" w:hAnsi="宋体" w:cs="宋体"/>
          <w:sz w:val="24"/>
        </w:rPr>
      </w:pP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委托代理人有效期内的身份证正反面复印件：</w:t>
      </w:r>
      <w:r>
        <w:rPr>
          <w:rFonts w:hint="eastAsia" w:ascii="宋体" w:hAnsi="宋体" w:cs="宋体"/>
          <w:sz w:val="24"/>
        </w:rPr>
      </w:r>
      <w:r/>
    </w:p>
    <w:tbl>
      <w:tblPr>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pStyle w:val="1070"/>
              <w:spacing w:line="360" w:lineRule="auto"/>
              <w:rPr>
                <w:rFonts w:hint="eastAsia" w:ascii="宋体" w:hAnsi="宋体" w:cs="宋体"/>
                <w:sz w:val="24"/>
              </w:rPr>
            </w:pPr>
            <w:r>
              <w:rPr>
                <w:rFonts w:hint="eastAsia" w:ascii="宋体" w:hAnsi="宋体" w:cs="宋体"/>
                <w:sz w:val="24"/>
              </w:rPr>
            </w:r>
            <w:r/>
          </w:p>
        </w:tc>
        <w:tc>
          <w:tcPr>
            <w:tcW w:w="4261" w:type="dxa"/>
            <w:vAlign w:val="top"/>
            <w:textDirection w:val="lrTb"/>
            <w:noWrap w:val="false"/>
          </w:tcPr>
          <w:p>
            <w:pPr>
              <w:pStyle w:val="1070"/>
              <w:spacing w:line="360" w:lineRule="auto"/>
              <w:rPr>
                <w:rFonts w:hint="eastAsia" w:ascii="宋体" w:hAnsi="宋体" w:cs="宋体"/>
                <w:sz w:val="24"/>
              </w:rPr>
            </w:pPr>
            <w:r>
              <w:rPr>
                <w:rFonts w:hint="eastAsia" w:ascii="宋体" w:hAnsi="宋体" w:cs="宋体"/>
                <w:sz w:val="24"/>
              </w:rPr>
            </w:r>
            <w:r/>
          </w:p>
        </w:tc>
      </w:tr>
    </w:tbl>
    <w:p>
      <w:pPr>
        <w:pStyle w:val="1070"/>
        <w:spacing w:line="360" w:lineRule="auto"/>
        <w:rPr>
          <w:rFonts w:hint="eastAsia" w:ascii="宋体" w:hAnsi="宋体" w:cs="宋体"/>
          <w:sz w:val="24"/>
        </w:rPr>
      </w:pP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1.若供应商为事业单位或其他组织或分支机构（仅当招标文件注明允许分支机构响应的），则法定代表人（单位负责人</w:t>
      </w:r>
      <w:r>
        <w:rPr>
          <w:rFonts w:hint="eastAsia" w:ascii="宋体" w:hAnsi="宋体" w:cs="宋体"/>
          <w:sz w:val="24"/>
          <w:lang w:eastAsia="zh-CN"/>
        </w:rPr>
        <w:t xml:space="preserve">）</w:t>
      </w:r>
      <w:r>
        <w:rPr>
          <w:rFonts w:hint="eastAsia" w:ascii="宋体" w:hAnsi="宋体" w:cs="宋体"/>
          <w:sz w:val="24"/>
        </w:rPr>
        <w:t xml:space="preserve">的签署人可为单位负责人。</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2.若响应文件中签字之处均为法定代表人（单位负责人）本人签署，则可不提供本《授权委托书》，但须提供《法定代表人（单位负责人）身份证明》（实质性格式）。</w:t>
      </w:r>
      <w:r>
        <w:rPr>
          <w:rFonts w:hint="eastAsia" w:ascii="宋体" w:hAnsi="宋体" w:cs="宋体"/>
          <w:sz w:val="24"/>
        </w:rPr>
      </w:r>
      <w:r/>
    </w:p>
    <w:p>
      <w:pPr>
        <w:pStyle w:val="1070"/>
        <w:ind w:firstLine="480"/>
        <w:jc w:val="left"/>
        <w:spacing w:line="360" w:lineRule="auto"/>
        <w:tabs>
          <w:tab w:val="left" w:pos="5580" w:leader="none"/>
        </w:tabs>
        <w:rPr>
          <w:rFonts w:ascii="宋体" w:hAnsi="宋体"/>
          <w:i/>
          <w:color w:val="000000"/>
          <w:sz w:val="24"/>
          <w:szCs w:val="20"/>
          <w:u w:val="single"/>
        </w:rPr>
      </w:pPr>
      <w:r>
        <w:rPr>
          <w:rFonts w:hint="eastAsia" w:ascii="宋体" w:hAnsi="宋体" w:cs="宋体"/>
          <w:sz w:val="24"/>
        </w:rPr>
        <w:t xml:space="preserve">3.供应商为自然人的情形，可不提供本《授权委托书》。</w:t>
      </w:r>
      <w:r>
        <w:rPr>
          <w:rFonts w:ascii="宋体" w:hAnsi="宋体"/>
          <w:i/>
          <w:color w:val="000000"/>
          <w:sz w:val="24"/>
          <w:szCs w:val="20"/>
          <w:u w:val="single"/>
        </w:rPr>
      </w:r>
      <w:r/>
    </w:p>
    <w:p>
      <w:pPr>
        <w:pStyle w:val="1070"/>
        <w:jc w:val="left"/>
        <w:widowControl/>
        <w:rPr>
          <w:rFonts w:hint="eastAsia"/>
          <w:color w:val="000000"/>
          <w:sz w:val="24"/>
        </w:rPr>
      </w:pPr>
      <w:r>
        <w:rPr>
          <w:rFonts w:hint="eastAsia"/>
          <w:color w:val="000000"/>
          <w:sz w:val="24"/>
        </w:rPr>
      </w:r>
      <w:r/>
    </w:p>
    <w:p>
      <w:pPr>
        <w:pStyle w:val="1072"/>
        <w:rPr>
          <w:rFonts w:hint="eastAsia"/>
        </w:rPr>
      </w:pPr>
      <w:r>
        <w:rPr>
          <w:rFonts w:hint="eastAsia"/>
        </w:rPr>
      </w:r>
      <w:r/>
    </w:p>
    <w:p>
      <w:pPr>
        <w:pStyle w:val="1070"/>
        <w:rPr>
          <w:rFonts w:hint="eastAsia"/>
        </w:rPr>
      </w:pPr>
      <w:r>
        <w:rPr>
          <w:rFonts w:hint="eastAsia"/>
        </w:rPr>
      </w:r>
      <w:r/>
    </w:p>
    <w:p>
      <w:pPr>
        <w:pStyle w:val="1138"/>
        <w:ind w:firstLine="480"/>
        <w:rPr>
          <w:rFonts w:hint="eastAsia"/>
        </w:rPr>
      </w:pPr>
      <w:r>
        <w:rPr>
          <w:rFonts w:hint="eastAsia"/>
        </w:rPr>
      </w:r>
      <w:r/>
    </w:p>
    <w:p>
      <w:pPr>
        <w:pStyle w:val="1070"/>
        <w:rPr>
          <w:rFonts w:hint="eastAsia"/>
        </w:rPr>
      </w:pPr>
      <w:r>
        <w:rPr>
          <w:rFonts w:hint="eastAsia"/>
        </w:rPr>
      </w:r>
      <w:r/>
    </w:p>
    <w:p>
      <w:pPr>
        <w:pStyle w:val="1138"/>
        <w:ind w:firstLine="480"/>
        <w:rPr>
          <w:rFonts w:hint="eastAsia"/>
        </w:rPr>
      </w:pPr>
      <w:r>
        <w:rPr>
          <w:rFonts w:hint="eastAsia"/>
        </w:rPr>
      </w:r>
      <w:r/>
    </w:p>
    <w:p>
      <w:pPr>
        <w:pStyle w:val="1070"/>
        <w:rPr>
          <w:rFonts w:hint="eastAsia"/>
        </w:rPr>
      </w:pPr>
      <w:r>
        <w:rPr>
          <w:rFonts w:hint="eastAsia"/>
        </w:rPr>
      </w:r>
      <w:r/>
    </w:p>
    <w:p>
      <w:pPr>
        <w:pStyle w:val="1138"/>
        <w:ind w:firstLine="480"/>
        <w:rPr>
          <w:rFonts w:hint="eastAsia"/>
        </w:rPr>
      </w:pPr>
      <w:r>
        <w:rPr>
          <w:rFonts w:hint="eastAsia"/>
        </w:rPr>
      </w:r>
      <w:r/>
    </w:p>
    <w:p>
      <w:pPr>
        <w:pStyle w:val="1070"/>
        <w:rPr>
          <w:rFonts w:hint="eastAsia"/>
        </w:rPr>
      </w:pPr>
      <w:r>
        <w:rPr>
          <w:rFonts w:hint="eastAsia"/>
        </w:rPr>
      </w:r>
      <w:r/>
    </w:p>
    <w:p>
      <w:pPr>
        <w:pStyle w:val="1138"/>
        <w:ind w:firstLine="480"/>
        <w:rPr>
          <w:rFonts w:hint="eastAsia"/>
        </w:rPr>
      </w:pPr>
      <w:r>
        <w:rPr>
          <w:rFonts w:hint="eastAsia"/>
        </w:rPr>
      </w:r>
      <w:r/>
    </w:p>
    <w:p>
      <w:pPr>
        <w:pStyle w:val="1070"/>
        <w:rPr>
          <w:rFonts w:hint="eastAsia"/>
        </w:rPr>
      </w:pPr>
      <w:r>
        <w:rPr>
          <w:rFonts w:hint="eastAsia"/>
        </w:rPr>
      </w:r>
      <w:r/>
    </w:p>
    <w:p>
      <w:pPr>
        <w:pStyle w:val="1138"/>
        <w:ind w:firstLine="480"/>
        <w:rPr>
          <w:rFonts w:hint="eastAsia"/>
        </w:rPr>
      </w:pPr>
      <w:r>
        <w:rPr>
          <w:rFonts w:hint="eastAsia"/>
        </w:rPr>
      </w:r>
      <w:r/>
    </w:p>
    <w:p>
      <w:pPr>
        <w:pStyle w:val="1070"/>
        <w:rPr>
          <w:rFonts w:hint="eastAsia"/>
        </w:rPr>
      </w:pPr>
      <w:r>
        <w:rPr>
          <w:rFonts w:hint="eastAsia"/>
        </w:rPr>
      </w:r>
      <w:r/>
    </w:p>
    <w:p>
      <w:pPr>
        <w:pStyle w:val="1138"/>
        <w:ind w:firstLine="480"/>
        <w:rPr>
          <w:rFonts w:hint="eastAsia"/>
        </w:rPr>
      </w:pPr>
      <w:r>
        <w:rPr>
          <w:rFonts w:hint="eastAsia"/>
        </w:rPr>
      </w:r>
      <w:r/>
    </w:p>
    <w:p>
      <w:pPr>
        <w:pStyle w:val="1070"/>
        <w:rPr>
          <w:rFonts w:hint="eastAsia"/>
        </w:rPr>
      </w:pPr>
      <w:r>
        <w:rPr>
          <w:rFonts w:hint="eastAsia"/>
        </w:rPr>
      </w:r>
      <w:r/>
    </w:p>
    <w:p>
      <w:pPr>
        <w:pStyle w:val="1138"/>
        <w:ind w:firstLine="480"/>
        <w:rPr>
          <w:rFonts w:hint="eastAsia"/>
        </w:rPr>
      </w:pPr>
      <w:r>
        <w:rPr>
          <w:rFonts w:hint="eastAsia"/>
        </w:rPr>
      </w:r>
      <w:r/>
    </w:p>
    <w:p>
      <w:pPr>
        <w:pStyle w:val="1070"/>
        <w:rPr>
          <w:rFonts w:hint="eastAsia"/>
        </w:rPr>
      </w:pPr>
      <w:r>
        <w:rPr>
          <w:rFonts w:hint="eastAsia"/>
        </w:rPr>
      </w:r>
      <w:r/>
    </w:p>
    <w:p>
      <w:pPr>
        <w:pStyle w:val="1138"/>
        <w:ind w:firstLine="480"/>
        <w:rPr>
          <w:rFonts w:hint="eastAsia"/>
        </w:rPr>
      </w:pPr>
      <w:r>
        <w:rPr>
          <w:rFonts w:hint="eastAsia"/>
        </w:rPr>
      </w:r>
      <w:r/>
    </w:p>
    <w:p>
      <w:pPr>
        <w:pStyle w:val="1070"/>
        <w:rPr>
          <w:rFonts w:hint="eastAsia"/>
        </w:rPr>
      </w:pPr>
      <w:r>
        <w:rPr>
          <w:rFonts w:hint="eastAsia"/>
        </w:rPr>
      </w:r>
      <w:r/>
    </w:p>
    <w:p>
      <w:pPr>
        <w:pStyle w:val="1138"/>
        <w:ind w:firstLine="480"/>
        <w:rPr>
          <w:rFonts w:hint="eastAsia"/>
        </w:rPr>
      </w:pPr>
      <w:r>
        <w:rPr>
          <w:rFonts w:hint="eastAsia"/>
        </w:rPr>
      </w:r>
      <w:r/>
    </w:p>
    <w:p>
      <w:pPr>
        <w:pStyle w:val="1070"/>
        <w:rPr>
          <w:rFonts w:hint="eastAsia"/>
        </w:rPr>
      </w:pPr>
      <w:r>
        <w:rPr>
          <w:rFonts w:hint="eastAsia"/>
        </w:rPr>
      </w:r>
      <w:r/>
    </w:p>
    <w:p>
      <w:pPr>
        <w:pStyle w:val="1138"/>
        <w:ind w:firstLine="480"/>
        <w:rPr>
          <w:rFonts w:hint="eastAsia"/>
        </w:rPr>
      </w:pPr>
      <w:r>
        <w:rPr>
          <w:rFonts w:hint="eastAsia"/>
        </w:rPr>
      </w:r>
      <w:r/>
    </w:p>
    <w:p>
      <w:pPr>
        <w:pStyle w:val="1070"/>
        <w:rPr>
          <w:rFonts w:hint="eastAsia"/>
        </w:rPr>
      </w:pPr>
      <w:r>
        <w:rPr>
          <w:rFonts w:hint="eastAsia"/>
        </w:rPr>
      </w:r>
      <w:r/>
    </w:p>
    <w:p>
      <w:pPr>
        <w:pStyle w:val="1138"/>
        <w:ind w:firstLine="480"/>
        <w:rPr>
          <w:rFonts w:hint="eastAsia"/>
        </w:rPr>
      </w:pPr>
      <w:r>
        <w:rPr>
          <w:rFonts w:hint="eastAsia"/>
        </w:rPr>
      </w:r>
      <w:r/>
    </w:p>
    <w:p>
      <w:pPr>
        <w:pStyle w:val="1070"/>
        <w:rPr>
          <w:rFonts w:hint="eastAsia"/>
        </w:rPr>
      </w:pPr>
      <w:r>
        <w:rPr>
          <w:rFonts w:hint="eastAsia"/>
        </w:rPr>
      </w:r>
      <w:r/>
    </w:p>
    <w:p>
      <w:pPr>
        <w:pStyle w:val="1070"/>
        <w:rPr>
          <w:rFonts w:hint="eastAsia"/>
        </w:rPr>
      </w:pPr>
      <w:r>
        <w:rPr>
          <w:rFonts w:hint="eastAsia"/>
        </w:rPr>
      </w:r>
      <w:r/>
    </w:p>
    <w:p>
      <w:pPr>
        <w:pStyle w:val="1070"/>
        <w:rPr>
          <w:rFonts w:hint="eastAsia"/>
        </w:rPr>
      </w:pPr>
      <w:r>
        <w:rPr>
          <w:rFonts w:hint="eastAsia"/>
        </w:rPr>
      </w:r>
      <w:r/>
    </w:p>
    <w:p>
      <w:pPr>
        <w:pStyle w:val="1070"/>
        <w:jc w:val="left"/>
        <w:widowControl/>
        <w:rPr>
          <w:rFonts w:hint="eastAsia"/>
          <w:color w:val="000000"/>
          <w:sz w:val="24"/>
        </w:rPr>
      </w:pPr>
      <w:r>
        <w:rPr>
          <w:rFonts w:hint="eastAsia"/>
          <w:color w:val="000000"/>
          <w:sz w:val="24"/>
        </w:rPr>
      </w:r>
      <w:r/>
    </w:p>
    <w:p>
      <w:pPr>
        <w:pStyle w:val="1070"/>
        <w:jc w:val="left"/>
        <w:widowControl/>
        <w:rPr>
          <w:rFonts w:hint="eastAsia"/>
          <w:color w:val="000000"/>
          <w:sz w:val="24"/>
        </w:rPr>
      </w:pPr>
      <w:r>
        <w:rPr>
          <w:rFonts w:hint="eastAsia"/>
          <w:color w:val="000000"/>
          <w:sz w:val="24"/>
          <w:lang w:val="en-US" w:eastAsia="zh-CN"/>
        </w:rPr>
        <w:t xml:space="preserve">4</w:t>
      </w:r>
      <w:r>
        <w:rPr>
          <w:rFonts w:hint="eastAsia"/>
          <w:color w:val="000000"/>
          <w:sz w:val="24"/>
        </w:rPr>
        <w:t xml:space="preserve">  政府采购供应商信用承诺书</w:t>
      </w:r>
      <w:r>
        <w:rPr>
          <w:color w:val="000000"/>
          <w:sz w:val="24"/>
          <w:szCs w:val="20"/>
        </w:rPr>
        <w:t xml:space="preserve">（实质性格式）</w:t>
      </w:r>
      <w:r>
        <w:rPr>
          <w:rFonts w:hint="eastAsia"/>
          <w:color w:val="000000"/>
          <w:sz w:val="24"/>
        </w:rPr>
      </w:r>
      <w:r/>
    </w:p>
    <w:p>
      <w:pPr>
        <w:pStyle w:val="1070"/>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70"/>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70"/>
        <w:ind w:firstLine="640"/>
      </w:pPr>
      <w:r/>
      <w:r/>
    </w:p>
    <w:p>
      <w:pPr>
        <w:pStyle w:val="107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三、本单位提供给注册登记部门、行业管理部门、司法部门、行业组织以及在政府采购活动中提交的所有资料均合法、真实、有效，无任何伪造、修改、虚假成分，并对所提供资料的真实性负责。</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十一、承诺本单位同意将以上承诺事项上网公示，违背承诺约</w:t>
      </w:r>
      <w:r>
        <w:rPr>
          <w:rFonts w:hint="eastAsia" w:ascii="宋体" w:hAnsi="宋体"/>
          <w:sz w:val="24"/>
          <w:lang w:eastAsia="zh-CN"/>
        </w:rPr>
        <w:t xml:space="preserve">定的</w:t>
      </w:r>
      <w:r>
        <w:rPr>
          <w:rFonts w:hint="eastAsia" w:ascii="宋体" w:hAnsi="宋体"/>
          <w:sz w:val="24"/>
        </w:rPr>
        <w:t xml:space="preserve">行为将作为失信信息，记录到常州市公共信用信息系统，并予以公开。</w:t>
      </w:r>
      <w:r>
        <w:rPr>
          <w:rFonts w:ascii="宋体" w:hAnsi="宋体"/>
          <w:sz w:val="24"/>
        </w:rPr>
      </w:r>
      <w:r/>
    </w:p>
    <w:p>
      <w:pPr>
        <w:pStyle w:val="132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7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70"/>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5</w:t>
      </w:r>
      <w:r>
        <w:rPr>
          <w:color w:val="000000"/>
          <w:sz w:val="24"/>
          <w:szCs w:val="20"/>
        </w:rPr>
        <w:t xml:space="preserve"> 报价一览表</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color w:val="000000"/>
          <w:sz w:val="24"/>
          <w:szCs w:val="20"/>
        </w:rPr>
      </w:r>
      <w:r/>
    </w:p>
    <w:p>
      <w:pPr>
        <w:pStyle w:val="1070"/>
        <w:jc w:val="center"/>
        <w:rPr>
          <w:b/>
          <w:color w:val="000000"/>
          <w:sz w:val="36"/>
          <w:szCs w:val="36"/>
        </w:rPr>
      </w:pPr>
      <w:r/>
      <w:bookmarkStart w:id="560" w:name="_Toc226965748"/>
      <w:r/>
      <w:bookmarkStart w:id="561" w:name="_Toc226337254"/>
      <w:r/>
      <w:bookmarkStart w:id="562" w:name="_Toc226965831"/>
      <w:r/>
      <w:bookmarkStart w:id="563" w:name="_Toc265228396"/>
      <w:r/>
      <w:bookmarkStart w:id="564" w:name="_Toc305158826"/>
      <w:r/>
      <w:bookmarkStart w:id="565" w:name="_Toc164608827"/>
      <w:r/>
      <w:bookmarkStart w:id="566" w:name="_Toc305158900"/>
      <w:r/>
      <w:bookmarkStart w:id="567" w:name="_Toc164608672"/>
      <w:r/>
      <w:bookmarkStart w:id="568" w:name="_Toc195842923"/>
      <w:r/>
      <w:bookmarkStart w:id="569" w:name="_Toc226309802"/>
      <w:r/>
      <w:bookmarkStart w:id="570" w:name="_Toc264969248"/>
      <w:r/>
      <w:bookmarkStart w:id="571" w:name="_Toc226965832"/>
      <w:r/>
      <w:bookmarkStart w:id="572" w:name="_Toc195842924"/>
      <w:r/>
      <w:bookmarkStart w:id="573" w:name="_Toc305158827"/>
      <w:r/>
      <w:bookmarkStart w:id="574" w:name="_Toc127151558"/>
      <w:r/>
      <w:bookmarkStart w:id="575" w:name="_Toc264969249"/>
      <w:r/>
      <w:bookmarkStart w:id="576" w:name="_Toc150480796"/>
      <w:r/>
      <w:bookmarkStart w:id="577" w:name="_Toc226965749"/>
      <w:r/>
      <w:bookmarkStart w:id="578" w:name="_Toc265228397"/>
      <w:r/>
      <w:bookmarkStart w:id="579" w:name="_Toc305158901"/>
      <w:r/>
      <w:bookmarkStart w:id="580" w:name="_Toc150774763"/>
      <w:r/>
      <w:bookmarkStart w:id="581" w:name="_Toc226337255"/>
      <w:r/>
      <w:bookmarkStart w:id="582" w:name="_Toc226309803"/>
      <w:r/>
      <w:bookmarkStart w:id="583" w:name="_Toc142311060"/>
      <w:r>
        <w:rPr>
          <w:rFonts w:hint="eastAsia"/>
          <w:b/>
          <w:color w:val="000000"/>
          <w:sz w:val="36"/>
          <w:szCs w:val="36"/>
        </w:rPr>
        <w:t xml:space="preserve">报价一览表</w:t>
      </w:r>
      <w:bookmarkEnd w:id="560"/>
      <w:r/>
      <w:bookmarkEnd w:id="561"/>
      <w:r/>
      <w:bookmarkEnd w:id="562"/>
      <w:r/>
      <w:bookmarkEnd w:id="563"/>
      <w:r/>
      <w:bookmarkEnd w:id="564"/>
      <w:r/>
      <w:bookmarkEnd w:id="565"/>
      <w:r/>
      <w:bookmarkEnd w:id="566"/>
      <w:r/>
      <w:bookmarkEnd w:id="567"/>
      <w:r/>
      <w:bookmarkEnd w:id="568"/>
      <w:r/>
      <w:bookmarkEnd w:id="569"/>
      <w:r/>
      <w:bookmarkEnd w:id="570"/>
      <w:r>
        <w:rPr>
          <w:b/>
          <w:color w:val="000000"/>
          <w:sz w:val="36"/>
          <w:szCs w:val="36"/>
        </w:rPr>
      </w:r>
      <w:r/>
    </w:p>
    <w:p>
      <w:pPr>
        <w:pStyle w:val="1070"/>
        <w:jc w:val="left"/>
        <w:spacing w:line="360" w:lineRule="auto"/>
        <w:tabs>
          <w:tab w:val="left" w:pos="1800" w:leader="none"/>
          <w:tab w:val="left" w:pos="5580" w:leader="none"/>
        </w:tabs>
        <w:rPr>
          <w:color w:val="000000"/>
          <w:sz w:val="24"/>
        </w:rPr>
      </w:pPr>
      <w:r>
        <w:rPr>
          <w:color w:val="000000"/>
          <w:sz w:val="24"/>
        </w:rPr>
      </w:r>
      <w:r/>
    </w:p>
    <w:p>
      <w:pPr>
        <w:pStyle w:val="1070"/>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3869" w:type="pct"/>
        <w:jc w:val="center"/>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0"/>
        <w:gridCol w:w="2631"/>
        <w:gridCol w:w="2152"/>
        <w:gridCol w:w="2052"/>
      </w:tblGrid>
      <w:tr>
        <w:trPr>
          <w:trHeight w:val="531"/>
        </w:trPr>
        <w:tc>
          <w:tcPr>
            <w:tcW w:w="422" w:type="dxa"/>
            <w:vAlign w:val="center"/>
            <w:vMerge w:val="restart"/>
            <w:textDirection w:val="lrTb"/>
            <w:noWrap w:val="false"/>
          </w:tcPr>
          <w:p>
            <w:pPr>
              <w:pStyle w:val="1070"/>
              <w:jc w:val="center"/>
              <w:tabs>
                <w:tab w:val="left" w:pos="5580" w:leader="none"/>
              </w:tabs>
              <w:rPr>
                <w:b/>
                <w:sz w:val="24"/>
              </w:rPr>
            </w:pPr>
            <w:r>
              <w:rPr>
                <w:b/>
                <w:sz w:val="24"/>
              </w:rPr>
              <w:t xml:space="preserve">序号</w:t>
            </w:r>
            <w:r>
              <w:rPr>
                <w:b/>
                <w:sz w:val="24"/>
              </w:rPr>
            </w:r>
            <w:r/>
          </w:p>
        </w:tc>
        <w:tc>
          <w:tcPr>
            <w:tcW w:w="1762" w:type="dxa"/>
            <w:vAlign w:val="center"/>
            <w:vMerge w:val="restart"/>
            <w:textDirection w:val="lrTb"/>
            <w:noWrap w:val="false"/>
          </w:tcPr>
          <w:p>
            <w:pPr>
              <w:pStyle w:val="1070"/>
              <w:jc w:val="center"/>
              <w:tabs>
                <w:tab w:val="left" w:pos="5580" w:leader="none"/>
              </w:tabs>
              <w:rPr>
                <w:b/>
                <w:sz w:val="24"/>
              </w:rPr>
            </w:pPr>
            <w:r>
              <w:rPr>
                <w:b/>
                <w:sz w:val="24"/>
              </w:rPr>
              <w:t xml:space="preserve">供应商名称</w:t>
            </w:r>
            <w:r>
              <w:rPr>
                <w:b/>
                <w:sz w:val="24"/>
              </w:rPr>
            </w:r>
            <w:r/>
          </w:p>
        </w:tc>
        <w:tc>
          <w:tcPr>
            <w:gridSpan w:val="2"/>
            <w:tcW w:w="4204" w:type="dxa"/>
            <w:vAlign w:val="center"/>
            <w:textDirection w:val="lrTb"/>
            <w:noWrap w:val="false"/>
          </w:tcPr>
          <w:p>
            <w:pPr>
              <w:pStyle w:val="1070"/>
              <w:jc w:val="center"/>
              <w:tabs>
                <w:tab w:val="left" w:pos="5580" w:leader="none"/>
              </w:tabs>
              <w:rPr>
                <w:b/>
                <w:sz w:val="24"/>
              </w:rPr>
            </w:pPr>
            <w:r>
              <w:rPr>
                <w:b/>
                <w:sz w:val="24"/>
              </w:rPr>
              <w:t xml:space="preserve">报价</w:t>
            </w:r>
            <w:r>
              <w:rPr>
                <w:rFonts w:hint="eastAsia"/>
                <w:b/>
                <w:sz w:val="24"/>
              </w:rPr>
              <w:t xml:space="preserve">（元）</w:t>
            </w:r>
            <w:r>
              <w:rPr>
                <w:b/>
                <w:sz w:val="24"/>
              </w:rPr>
            </w:r>
            <w:r/>
          </w:p>
        </w:tc>
      </w:tr>
      <w:tr>
        <w:trPr>
          <w:trHeight w:val="674"/>
        </w:trPr>
        <w:tc>
          <w:tcPr>
            <w:tcW w:w="422" w:type="dxa"/>
            <w:vAlign w:val="center"/>
            <w:vMerge w:val="continue"/>
            <w:textDirection w:val="lrTb"/>
            <w:noWrap w:val="false"/>
          </w:tcPr>
          <w:p>
            <w:pPr>
              <w:pStyle w:val="1070"/>
              <w:jc w:val="left"/>
              <w:widowControl/>
              <w:rPr>
                <w:b/>
                <w:sz w:val="24"/>
              </w:rPr>
            </w:pPr>
            <w:r>
              <w:rPr>
                <w:b/>
                <w:sz w:val="24"/>
              </w:rPr>
            </w:r>
            <w:r/>
          </w:p>
        </w:tc>
        <w:tc>
          <w:tcPr>
            <w:tcW w:w="1762" w:type="dxa"/>
            <w:vAlign w:val="center"/>
            <w:vMerge w:val="continue"/>
            <w:textDirection w:val="lrTb"/>
            <w:noWrap w:val="false"/>
          </w:tcPr>
          <w:p>
            <w:pPr>
              <w:pStyle w:val="1070"/>
              <w:jc w:val="left"/>
              <w:widowControl/>
              <w:rPr>
                <w:b/>
                <w:sz w:val="24"/>
              </w:rPr>
            </w:pPr>
            <w:r>
              <w:rPr>
                <w:b/>
                <w:sz w:val="24"/>
              </w:rPr>
            </w:r>
            <w:r/>
          </w:p>
        </w:tc>
        <w:tc>
          <w:tcPr>
            <w:tcW w:w="1441" w:type="dxa"/>
            <w:vAlign w:val="center"/>
            <w:textDirection w:val="lrTb"/>
            <w:noWrap w:val="false"/>
          </w:tcPr>
          <w:p>
            <w:pPr>
              <w:pStyle w:val="1070"/>
              <w:jc w:val="center"/>
              <w:tabs>
                <w:tab w:val="left" w:pos="5580" w:leader="none"/>
              </w:tabs>
              <w:rPr>
                <w:b/>
                <w:sz w:val="24"/>
              </w:rPr>
            </w:pPr>
            <w:r>
              <w:rPr>
                <w:b/>
                <w:sz w:val="24"/>
              </w:rPr>
              <w:t xml:space="preserve">大写</w:t>
            </w:r>
            <w:r>
              <w:rPr>
                <w:b/>
                <w:sz w:val="24"/>
              </w:rPr>
            </w:r>
            <w:r/>
          </w:p>
        </w:tc>
        <w:tc>
          <w:tcPr>
            <w:tcW w:w="1374" w:type="dxa"/>
            <w:vAlign w:val="center"/>
            <w:textDirection w:val="lrTb"/>
            <w:noWrap w:val="false"/>
          </w:tcPr>
          <w:p>
            <w:pPr>
              <w:pStyle w:val="1070"/>
              <w:jc w:val="center"/>
              <w:tabs>
                <w:tab w:val="left" w:pos="5580" w:leader="none"/>
              </w:tabs>
              <w:rPr>
                <w:b/>
                <w:sz w:val="24"/>
              </w:rPr>
            </w:pPr>
            <w:r>
              <w:rPr>
                <w:b/>
                <w:sz w:val="24"/>
              </w:rPr>
              <w:t xml:space="preserve">小写</w:t>
            </w:r>
            <w:r>
              <w:rPr>
                <w:b/>
                <w:sz w:val="24"/>
              </w:rPr>
            </w:r>
            <w:r/>
          </w:p>
        </w:tc>
      </w:tr>
      <w:tr>
        <w:trPr>
          <w:trHeight w:val="976"/>
        </w:trPr>
        <w:tc>
          <w:tcPr>
            <w:tcW w:w="422" w:type="dxa"/>
            <w:vAlign w:val="center"/>
            <w:textDirection w:val="lrTb"/>
            <w:noWrap w:val="false"/>
          </w:tcPr>
          <w:p>
            <w:pPr>
              <w:pStyle w:val="1070"/>
              <w:jc w:val="center"/>
              <w:tabs>
                <w:tab w:val="left" w:pos="5580" w:leader="none"/>
              </w:tabs>
              <w:rPr>
                <w:sz w:val="24"/>
              </w:rPr>
            </w:pPr>
            <w:r>
              <w:rPr>
                <w:sz w:val="24"/>
              </w:rPr>
            </w:r>
            <w:r/>
          </w:p>
        </w:tc>
        <w:tc>
          <w:tcPr>
            <w:tcW w:w="1762" w:type="dxa"/>
            <w:vAlign w:val="center"/>
            <w:textDirection w:val="lrTb"/>
            <w:noWrap w:val="false"/>
          </w:tcPr>
          <w:p>
            <w:pPr>
              <w:pStyle w:val="1070"/>
              <w:jc w:val="center"/>
              <w:tabs>
                <w:tab w:val="left" w:pos="5580" w:leader="none"/>
              </w:tabs>
              <w:rPr>
                <w:sz w:val="24"/>
              </w:rPr>
            </w:pPr>
            <w:r>
              <w:rPr>
                <w:sz w:val="24"/>
              </w:rPr>
            </w:r>
            <w:r/>
          </w:p>
        </w:tc>
        <w:tc>
          <w:tcPr>
            <w:tcW w:w="1441" w:type="dxa"/>
            <w:vAlign w:val="center"/>
            <w:textDirection w:val="lrTb"/>
            <w:noWrap w:val="false"/>
          </w:tcPr>
          <w:p>
            <w:pPr>
              <w:pStyle w:val="1070"/>
              <w:jc w:val="center"/>
              <w:tabs>
                <w:tab w:val="left" w:pos="5580" w:leader="none"/>
              </w:tabs>
              <w:rPr>
                <w:sz w:val="24"/>
              </w:rPr>
            </w:pPr>
            <w:r>
              <w:rPr>
                <w:sz w:val="24"/>
              </w:rPr>
            </w:r>
            <w:r/>
          </w:p>
        </w:tc>
        <w:tc>
          <w:tcPr>
            <w:tcW w:w="1374" w:type="dxa"/>
            <w:vAlign w:val="center"/>
            <w:textDirection w:val="lrTb"/>
            <w:noWrap w:val="false"/>
          </w:tcPr>
          <w:p>
            <w:pPr>
              <w:pStyle w:val="1070"/>
              <w:jc w:val="center"/>
              <w:tabs>
                <w:tab w:val="left" w:pos="5580" w:leader="none"/>
              </w:tabs>
              <w:rPr>
                <w:sz w:val="24"/>
              </w:rPr>
            </w:pPr>
            <w:r>
              <w:rPr>
                <w:sz w:val="24"/>
              </w:rPr>
            </w:r>
            <w:r/>
          </w:p>
        </w:tc>
      </w:tr>
    </w:tbl>
    <w:p>
      <w:pPr>
        <w:pStyle w:val="1070"/>
        <w:jc w:val="left"/>
        <w:rPr>
          <w:color w:val="000000"/>
          <w:sz w:val="24"/>
        </w:rPr>
      </w:pPr>
      <w:r>
        <w:rPr>
          <w:color w:val="000000"/>
          <w:sz w:val="24"/>
        </w:rPr>
      </w:r>
      <w:r/>
    </w:p>
    <w:p>
      <w:pPr>
        <w:pStyle w:val="1070"/>
        <w:jc w:val="left"/>
        <w:rPr>
          <w:color w:val="000000"/>
          <w:sz w:val="24"/>
          <w:szCs w:val="20"/>
        </w:rPr>
      </w:pPr>
      <w:r>
        <w:rPr>
          <w:color w:val="000000"/>
          <w:sz w:val="24"/>
        </w:rPr>
        <w:t xml:space="preserve">注：</w:t>
      </w:r>
      <w:r>
        <w:rPr>
          <w:b/>
          <w:bCs/>
          <w:color w:val="000000"/>
          <w:sz w:val="24"/>
        </w:rPr>
        <w:t xml:space="preserve">1</w:t>
      </w:r>
      <w:r>
        <w:rPr>
          <w:b/>
          <w:bCs/>
          <w:color w:val="000000"/>
          <w:sz w:val="24"/>
          <w:szCs w:val="20"/>
        </w:rPr>
        <w:t xml:space="preserve">.</w:t>
      </w:r>
      <w:r>
        <w:rPr>
          <w:color w:val="000000"/>
          <w:sz w:val="24"/>
          <w:szCs w:val="20"/>
        </w:rPr>
        <w:t xml:space="preserve">每包的投标报价应和《投标分项报价表》中的</w:t>
      </w:r>
      <w:r>
        <w:rPr>
          <w:rFonts w:hint="eastAsia" w:ascii="Times New Roman" w:eastAsia="宋体"/>
          <w:b/>
          <w:bCs/>
          <w:color w:val="000000"/>
          <w:sz w:val="24"/>
          <w:szCs w:val="20"/>
          <w:lang w:val="en-US" w:eastAsia="zh-CN"/>
        </w:rPr>
        <w:t xml:space="preserve">报价</w:t>
      </w:r>
      <w:r>
        <w:rPr>
          <w:color w:val="000000"/>
          <w:sz w:val="24"/>
          <w:szCs w:val="20"/>
        </w:rPr>
        <w:t xml:space="preserve">相一致。</w:t>
      </w:r>
      <w:r>
        <w:rPr>
          <w:color w:val="000000"/>
          <w:sz w:val="24"/>
          <w:szCs w:val="20"/>
        </w:rPr>
      </w:r>
      <w:r/>
    </w:p>
    <w:p>
      <w:pPr>
        <w:pStyle w:val="1070"/>
        <w:spacing w:before="25" w:after="25" w:line="360" w:lineRule="auto"/>
        <w:rPr>
          <w:color w:val="000000"/>
          <w:sz w:val="24"/>
          <w:lang w:val="zh-CN"/>
        </w:rPr>
      </w:pPr>
      <w:r>
        <w:rPr>
          <w:rFonts w:hint="eastAsia"/>
          <w:color w:val="000000"/>
          <w:sz w:val="24"/>
          <w:szCs w:val="20"/>
          <w:lang w:val="en-US" w:eastAsia="zh-CN"/>
        </w:rPr>
        <w:t xml:space="preserve">2</w:t>
      </w:r>
      <w:r>
        <w:rPr>
          <w:color w:val="000000"/>
          <w:sz w:val="24"/>
          <w:szCs w:val="20"/>
        </w:rPr>
        <w:t xml:space="preserve">.本表必须按包分别填写。</w:t>
      </w:r>
      <w:r>
        <w:rPr>
          <w:color w:val="000000"/>
          <w:sz w:val="24"/>
          <w:lang w:val="zh-CN"/>
        </w:rPr>
      </w:r>
      <w:r/>
    </w:p>
    <w:p>
      <w:pPr>
        <w:pStyle w:val="1070"/>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7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7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spacing w:line="400" w:lineRule="exact"/>
        <w:rPr>
          <w:color w:val="000000"/>
          <w:sz w:val="24"/>
          <w:szCs w:val="20"/>
        </w:rPr>
      </w:pPr>
      <w:r>
        <w:rPr>
          <w:color w:val="000000"/>
          <w:sz w:val="24"/>
          <w:szCs w:val="20"/>
        </w:rPr>
      </w:r>
      <w:r/>
    </w:p>
    <w:p>
      <w:pPr>
        <w:pStyle w:val="1070"/>
        <w:jc w:val="left"/>
        <w:widowControl/>
        <w:rPr>
          <w:rFonts w:hint="eastAsia" w:ascii="宋体" w:hAnsi="宋体" w:cs="宋体"/>
          <w:sz w:val="24"/>
          <w:szCs w:val="20"/>
        </w:rPr>
      </w:pPr>
      <w:r>
        <w:rPr>
          <w:rFonts w:hint="eastAsia" w:ascii="宋体" w:hAnsi="宋体" w:cs="宋体"/>
          <w:sz w:val="24"/>
          <w:szCs w:val="20"/>
        </w:rPr>
      </w:r>
      <w:r/>
    </w:p>
    <w:p>
      <w:pPr>
        <w:pStyle w:val="1070"/>
        <w:jc w:val="left"/>
        <w:widowControl/>
        <w:rPr>
          <w:rFonts w:hint="eastAsia" w:ascii="宋体" w:hAnsi="宋体" w:cs="宋体"/>
          <w:sz w:val="24"/>
          <w:szCs w:val="20"/>
        </w:rPr>
      </w:pPr>
      <w:r>
        <w:rPr>
          <w:rFonts w:hint="eastAsia" w:ascii="宋体" w:hAnsi="宋体" w:cs="宋体"/>
          <w:sz w:val="24"/>
          <w:szCs w:val="20"/>
        </w:rPr>
      </w:r>
      <w:r/>
    </w:p>
    <w:p>
      <w:pPr>
        <w:pStyle w:val="1070"/>
        <w:jc w:val="left"/>
        <w:widowControl/>
        <w:rPr>
          <w:rFonts w:hint="eastAsia"/>
          <w:b/>
          <w:i/>
          <w:sz w:val="24"/>
        </w:rPr>
      </w:pPr>
      <w:r>
        <w:rPr>
          <w:rFonts w:hint="eastAsia" w:ascii="宋体" w:hAnsi="宋体" w:cs="宋体"/>
          <w:sz w:val="24"/>
          <w:szCs w:val="20"/>
        </w:rPr>
        <w:t xml:space="preserve">7 分项报价表</w:t>
      </w:r>
      <w:r>
        <w:rPr>
          <w:rFonts w:hint="eastAsia"/>
          <w:b/>
          <w:i/>
          <w:sz w:val="24"/>
        </w:rPr>
      </w:r>
      <w:r/>
    </w:p>
    <w:p>
      <w:pPr>
        <w:pStyle w:val="1070"/>
        <w:jc w:val="center"/>
        <w:spacing w:line="360" w:lineRule="exact"/>
        <w:rPr>
          <w:rFonts w:hint="eastAsia"/>
          <w:b/>
          <w:color w:val="000000"/>
          <w:sz w:val="36"/>
          <w:szCs w:val="36"/>
        </w:rPr>
      </w:pPr>
      <w:r>
        <w:rPr>
          <w:rFonts w:hint="eastAsia"/>
          <w:b/>
          <w:color w:val="000000"/>
          <w:sz w:val="36"/>
          <w:szCs w:val="36"/>
        </w:rPr>
        <w:t xml:space="preserve">投标分项报价表</w:t>
      </w:r>
      <w:r>
        <w:rPr>
          <w:rFonts w:hint="eastAsia"/>
          <w:b/>
          <w:color w:val="000000"/>
          <w:sz w:val="36"/>
          <w:szCs w:val="36"/>
        </w:rPr>
      </w:r>
      <w:r/>
    </w:p>
    <w:p>
      <w:pPr>
        <w:pStyle w:val="1070"/>
        <w:jc w:val="center"/>
        <w:spacing w:line="260" w:lineRule="exact"/>
        <w:rPr>
          <w:color w:val="000000"/>
          <w:sz w:val="36"/>
          <w:szCs w:val="36"/>
        </w:rPr>
      </w:pPr>
      <w:r>
        <w:rPr>
          <w:color w:val="000000"/>
          <w:sz w:val="36"/>
          <w:szCs w:val="36"/>
        </w:rPr>
      </w:r>
      <w:r/>
    </w:p>
    <w:p>
      <w:pPr>
        <w:pStyle w:val="1070"/>
        <w:ind w:firstLine="480"/>
        <w:tabs>
          <w:tab w:val="left" w:pos="1800" w:leader="none"/>
          <w:tab w:val="left" w:pos="5580" w:leader="none"/>
        </w:tabs>
        <w:rPr>
          <w:color w:val="000000"/>
          <w:sz w:val="24"/>
        </w:rPr>
      </w:pPr>
      <w:r>
        <w:rPr>
          <w:color w:val="000000"/>
          <w:sz w:val="24"/>
        </w:rPr>
        <w:t xml:space="preserve">项目编号/包号：___________ 项目名称：__________报价单位：人民币元</w:t>
      </w:r>
      <w:r>
        <w:rPr>
          <w:color w:val="000000"/>
          <w:sz w:val="24"/>
        </w:rPr>
      </w:r>
      <w:r/>
    </w:p>
    <w:tbl>
      <w:tblPr>
        <w:tblW w:w="8825" w:type="dxa"/>
        <w:jc w:val="center"/>
        <w:tblInd w:w="-2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423"/>
        <w:gridCol w:w="2533"/>
        <w:gridCol w:w="1042"/>
        <w:gridCol w:w="992"/>
        <w:gridCol w:w="919"/>
        <w:gridCol w:w="1072"/>
      </w:tblGrid>
      <w:tr>
        <w:trPr>
          <w:cantSplit/>
          <w:trHeight w:val="912"/>
        </w:trPr>
        <w:tc>
          <w:tcPr>
            <w:tcW w:w="844"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W w:w="844"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70"/>
              <w:jc w:val="center"/>
              <w:spacing w:line="360" w:lineRule="auto"/>
              <w:widowControl/>
              <w:rPr>
                <w:rFonts w:ascii="宋体" w:hAnsi="宋体" w:cs="Arial"/>
                <w:b/>
                <w:bCs/>
                <w:sz w:val="24"/>
                <w:highlight w:val="yellow"/>
              </w:rPr>
            </w:pPr>
            <w:r>
              <w:rPr>
                <w:rFonts w:ascii="宋体" w:hAnsi="宋体" w:cs="Arial"/>
                <w:b/>
                <w:bCs/>
                <w:sz w:val="24"/>
                <w:highlight w:val="yellow"/>
              </w:rPr>
            </w:r>
            <w:r/>
          </w:p>
        </w:tc>
        <w:tc>
          <w:tcPr>
            <w:tcW w:w="2533"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104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99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919"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107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r>
      <w:tr>
        <w:trPr>
          <w:trHeight w:val="480"/>
        </w:trPr>
        <w:tc>
          <w:tcPr>
            <w:tcW w:w="844"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70"/>
              <w:jc w:val="center"/>
              <w:spacing w:line="360" w:lineRule="auto"/>
              <w:widowControl/>
              <w:rPr>
                <w:rFonts w:ascii="宋体" w:hAnsi="宋体" w:cs="Arial"/>
                <w:b/>
                <w:bCs/>
                <w:sz w:val="24"/>
                <w:highlight w:val="yellow"/>
              </w:rPr>
            </w:pPr>
            <w:r>
              <w:rPr>
                <w:rFonts w:ascii="宋体" w:hAnsi="宋体" w:cs="Arial"/>
                <w:b/>
                <w:bCs/>
                <w:sz w:val="24"/>
                <w:highlight w:val="yellow"/>
              </w:rPr>
            </w:r>
            <w:r/>
          </w:p>
        </w:tc>
        <w:tc>
          <w:tcPr>
            <w:tcW w:w="2533"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104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99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919"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107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r>
      <w:tr>
        <w:trPr>
          <w:trHeight w:val="480"/>
        </w:trPr>
        <w:tc>
          <w:tcPr>
            <w:tcW w:w="844"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70"/>
              <w:jc w:val="center"/>
              <w:spacing w:line="360" w:lineRule="auto"/>
              <w:widowControl/>
              <w:rPr>
                <w:rFonts w:ascii="宋体" w:hAnsi="宋体" w:cs="Arial"/>
                <w:b/>
                <w:bCs/>
                <w:sz w:val="24"/>
                <w:highlight w:val="yellow"/>
              </w:rPr>
            </w:pPr>
            <w:r>
              <w:rPr>
                <w:rFonts w:ascii="宋体" w:hAnsi="宋体" w:cs="Arial"/>
                <w:b/>
                <w:bCs/>
                <w:sz w:val="24"/>
                <w:highlight w:val="yellow"/>
              </w:rPr>
            </w:r>
            <w:r/>
          </w:p>
        </w:tc>
        <w:tc>
          <w:tcPr>
            <w:tcW w:w="2533"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104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99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919"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107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r>
      <w:tr>
        <w:trPr>
          <w:trHeight w:val="480"/>
        </w:trPr>
        <w:tc>
          <w:tcPr>
            <w:tcW w:w="844"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70"/>
              <w:jc w:val="center"/>
              <w:spacing w:line="360" w:lineRule="auto"/>
              <w:widowControl/>
              <w:rPr>
                <w:rFonts w:ascii="宋体" w:hAnsi="宋体" w:cs="Arial"/>
                <w:b/>
                <w:bCs/>
                <w:sz w:val="24"/>
                <w:highlight w:val="yellow"/>
              </w:rPr>
            </w:pPr>
            <w:r>
              <w:rPr>
                <w:rFonts w:ascii="宋体" w:hAnsi="宋体" w:cs="Arial"/>
                <w:b/>
                <w:bCs/>
                <w:sz w:val="24"/>
                <w:highlight w:val="yellow"/>
              </w:rPr>
            </w:r>
            <w:r/>
          </w:p>
        </w:tc>
        <w:tc>
          <w:tcPr>
            <w:tcW w:w="2533"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104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99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919"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107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r>
      <w:tr>
        <w:trPr>
          <w:trHeight w:val="480"/>
        </w:trPr>
        <w:tc>
          <w:tcPr>
            <w:tcW w:w="844"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70"/>
              <w:jc w:val="center"/>
              <w:spacing w:line="360" w:lineRule="auto"/>
              <w:widowControl/>
              <w:rPr>
                <w:rFonts w:ascii="宋体" w:hAnsi="宋体" w:cs="Arial"/>
                <w:b/>
                <w:bCs/>
                <w:sz w:val="24"/>
                <w:highlight w:val="yellow"/>
              </w:rPr>
            </w:pPr>
            <w:r>
              <w:rPr>
                <w:rFonts w:ascii="宋体" w:hAnsi="宋体" w:cs="Arial"/>
                <w:b/>
                <w:bCs/>
                <w:sz w:val="24"/>
                <w:highlight w:val="yellow"/>
              </w:rPr>
            </w:r>
            <w:r/>
          </w:p>
        </w:tc>
        <w:tc>
          <w:tcPr>
            <w:tcW w:w="2533"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104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99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919"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c>
          <w:tcPr>
            <w:tcW w:w="1072" w:type="dxa"/>
            <w:vAlign w:val="center"/>
            <w:textDirection w:val="lrTb"/>
            <w:noWrap w:val="false"/>
          </w:tcPr>
          <w:p>
            <w:pPr>
              <w:pStyle w:val="1070"/>
              <w:jc w:val="center"/>
              <w:spacing w:line="360" w:lineRule="auto"/>
              <w:widowControl/>
              <w:rPr>
                <w:rFonts w:ascii="宋体" w:hAnsi="宋体" w:cs="Arial"/>
                <w:sz w:val="24"/>
                <w:highlight w:val="yellow"/>
              </w:rPr>
            </w:pPr>
            <w:r>
              <w:rPr>
                <w:rFonts w:ascii="宋体" w:hAnsi="宋体" w:cs="Arial"/>
                <w:sz w:val="24"/>
                <w:highlight w:val="yellow"/>
              </w:rPr>
            </w:r>
            <w:r/>
          </w:p>
        </w:tc>
      </w:tr>
      <w:tr>
        <w:trPr>
          <w:trHeight w:val="480"/>
        </w:trPr>
        <w:tc>
          <w:tcPr>
            <w:tcW w:w="844"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800"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lang w:val="en-US" w:eastAsia="zh-CN"/>
              </w:rPr>
              <w:t xml:space="preserve">报</w:t>
            </w:r>
            <w:r>
              <w:rPr>
                <w:rFonts w:hint="eastAsia" w:ascii="宋体" w:hAnsi="宋体" w:cs="Arial"/>
                <w:sz w:val="24"/>
              </w:rPr>
              <w:t xml:space="preserve">价</w:t>
            </w:r>
            <w:r>
              <w:rPr>
                <w:rFonts w:ascii="宋体" w:hAnsi="宋体" w:cs="Arial"/>
                <w:sz w:val="24"/>
              </w:rPr>
            </w:r>
            <w:r/>
          </w:p>
        </w:tc>
        <w:tc>
          <w:tcPr>
            <w:gridSpan w:val="4"/>
            <w:tcW w:w="4025"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bl>
    <w:p>
      <w:pPr>
        <w:pStyle w:val="1070"/>
        <w:ind w:firstLine="482"/>
        <w:jc w:val="left"/>
        <w:tabs>
          <w:tab w:val="left" w:pos="1800" w:leader="none"/>
          <w:tab w:val="left" w:pos="5580" w:leader="none"/>
        </w:tabs>
        <w:rPr>
          <w:rFonts w:hint="eastAsia" w:ascii="Times New Roman" w:hAnsi="Times New Roman" w:eastAsia="宋体" w:cs="Times New Roman"/>
          <w:b/>
          <w:bCs/>
          <w:color w:val="000000"/>
          <w:sz w:val="24"/>
        </w:rPr>
      </w:pPr>
      <w:r>
        <w:rPr>
          <w:rFonts w:hint="eastAsia" w:ascii="Times New Roman" w:hAnsi="Times New Roman" w:eastAsia="宋体" w:cs="Times New Roman"/>
          <w:b/>
          <w:bCs/>
          <w:color w:val="000000"/>
          <w:sz w:val="24"/>
        </w:rPr>
        <w:t xml:space="preserve">投标报价</w:t>
      </w:r>
      <w:r>
        <w:rPr>
          <w:rFonts w:hint="eastAsia" w:ascii="宋体" w:hAnsi="宋体" w:eastAsia="宋体" w:cs="Times New Roman"/>
          <w:b/>
          <w:bCs/>
          <w:color w:val="000000"/>
          <w:sz w:val="24"/>
          <w:highlight w:val="none"/>
        </w:rPr>
        <w:t xml:space="preserve">包括但不限于人工费用（基本工资（不低于溧阳市最低工资）、加班工资、高温费、社保（企业缴纳）、福利劳保、工具等费用）、车辆费用（油费、保险）、设备维修保养费用、设备折旧费用</w:t>
      </w:r>
      <w:r>
        <w:rPr>
          <w:rFonts w:hint="eastAsia" w:ascii="宋体" w:hAnsi="宋体" w:eastAsia="宋体" w:cs="Times New Roman"/>
          <w:b/>
          <w:bCs/>
          <w:color w:val="000000"/>
          <w:sz w:val="24"/>
          <w:highlight w:val="none"/>
          <w:lang w:eastAsia="zh-CN"/>
        </w:rPr>
        <w:t xml:space="preserve">、</w:t>
      </w:r>
      <w:r>
        <w:rPr>
          <w:rFonts w:hint="eastAsia" w:ascii="宋体" w:hAnsi="宋体"/>
          <w:b/>
          <w:bCs/>
          <w:sz w:val="24"/>
        </w:rPr>
        <w:t xml:space="preserve">保险费、培训、办公设备、耗材、利润、管理费、税金及政策性文件规定等各项应有费用，以及为完成该项服务项目所涉及到的一切相关费用</w:t>
      </w:r>
      <w:r>
        <w:rPr>
          <w:rFonts w:hint="eastAsia" w:ascii="宋体" w:hAnsi="宋体"/>
          <w:b/>
          <w:bCs/>
          <w:sz w:val="24"/>
          <w:lang w:eastAsia="zh-CN"/>
        </w:rPr>
        <w:t xml:space="preserve">。</w:t>
      </w:r>
      <w:r>
        <w:rPr>
          <w:rFonts w:hint="eastAsia" w:ascii="Times New Roman" w:hAnsi="Times New Roman" w:eastAsia="宋体" w:cs="Times New Roman"/>
          <w:b/>
          <w:bCs/>
          <w:color w:val="000000"/>
          <w:sz w:val="24"/>
        </w:rPr>
      </w:r>
      <w:r/>
    </w:p>
    <w:p>
      <w:pPr>
        <w:pStyle w:val="1070"/>
        <w:jc w:val="left"/>
        <w:tabs>
          <w:tab w:val="left" w:pos="1800" w:leader="none"/>
          <w:tab w:val="left" w:pos="5580" w:leader="none"/>
        </w:tabs>
        <w:rPr>
          <w:color w:val="000000"/>
          <w:sz w:val="24"/>
        </w:rPr>
      </w:pPr>
      <w:r>
        <w:rPr>
          <w:color w:val="000000"/>
          <w:sz w:val="24"/>
        </w:rPr>
      </w:r>
      <w:r/>
    </w:p>
    <w:p>
      <w:pPr>
        <w:pStyle w:val="1070"/>
        <w:jc w:val="left"/>
        <w:tabs>
          <w:tab w:val="left" w:pos="1800" w:leader="none"/>
          <w:tab w:val="left" w:pos="5580" w:leader="none"/>
        </w:tabs>
        <w:rPr>
          <w:color w:val="000000"/>
          <w:sz w:val="24"/>
        </w:rPr>
      </w:pPr>
      <w:r>
        <w:rPr>
          <w:color w:val="000000"/>
          <w:sz w:val="24"/>
        </w:rPr>
      </w:r>
      <w:r/>
    </w:p>
    <w:p>
      <w:pPr>
        <w:pStyle w:val="1070"/>
        <w:jc w:val="left"/>
        <w:tabs>
          <w:tab w:val="left" w:pos="1800" w:leader="none"/>
          <w:tab w:val="left" w:pos="5580" w:leader="none"/>
        </w:tabs>
        <w:rPr>
          <w:color w:val="000000"/>
          <w:sz w:val="24"/>
        </w:rPr>
      </w:pPr>
      <w:r>
        <w:rPr>
          <w:color w:val="000000"/>
          <w:sz w:val="24"/>
        </w:rPr>
        <w:t xml:space="preserve">注：1.本表应按包分别填写</w:t>
      </w:r>
      <w:r>
        <w:rPr>
          <w:b/>
          <w:bCs/>
          <w:color w:val="000000"/>
          <w:sz w:val="24"/>
        </w:rPr>
        <w:t xml:space="preserve">。</w:t>
      </w:r>
      <w:r>
        <w:rPr>
          <w:color w:val="000000"/>
          <w:sz w:val="24"/>
        </w:rPr>
      </w:r>
      <w:r/>
    </w:p>
    <w:p>
      <w:pPr>
        <w:pStyle w:val="1070"/>
        <w:ind w:firstLine="480"/>
        <w:jc w:val="left"/>
        <w:tabs>
          <w:tab w:val="left" w:pos="1800" w:leader="none"/>
          <w:tab w:val="left" w:pos="5580" w:leader="none"/>
        </w:tabs>
        <w:rPr>
          <w:rFonts w:hint="eastAsia"/>
          <w:color w:val="000000"/>
          <w:sz w:val="24"/>
        </w:rPr>
      </w:pPr>
      <w:r>
        <w:rPr>
          <w:color w:val="000000"/>
          <w:sz w:val="24"/>
        </w:rPr>
        <w:t xml:space="preserve">2.</w:t>
      </w:r>
      <w:r>
        <w:rPr>
          <w:rFonts w:hint="eastAsia"/>
          <w:color w:val="000000"/>
          <w:sz w:val="24"/>
        </w:rPr>
        <w:t xml:space="preserve">本表行数可以按照项目分项情况增加。</w:t>
      </w:r>
      <w:r>
        <w:rPr>
          <w:rFonts w:hint="eastAsia"/>
          <w:color w:val="000000"/>
          <w:sz w:val="24"/>
        </w:rPr>
      </w:r>
      <w:r/>
    </w:p>
    <w:p>
      <w:pPr>
        <w:pStyle w:val="1070"/>
        <w:ind w:firstLine="480"/>
        <w:jc w:val="left"/>
        <w:tabs>
          <w:tab w:val="left" w:pos="1800" w:leader="none"/>
          <w:tab w:val="left" w:pos="5580" w:leader="none"/>
        </w:tabs>
        <w:rPr>
          <w:sz w:val="24"/>
        </w:rPr>
      </w:pPr>
      <w:r>
        <w:rPr>
          <w:rFonts w:hint="eastAsia"/>
          <w:color w:val="000000"/>
          <w:sz w:val="24"/>
        </w:rPr>
        <w:t xml:space="preserve">3.</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sz w:val="24"/>
        </w:rPr>
      </w:r>
      <w:r/>
    </w:p>
    <w:p>
      <w:pPr>
        <w:pStyle w:val="1070"/>
        <w:spacing w:before="25" w:after="25" w:line="360" w:lineRule="auto"/>
        <w:rPr>
          <w:sz w:val="24"/>
          <w:lang w:val="zh-CN"/>
        </w:rPr>
      </w:pPr>
      <w:r>
        <w:rPr>
          <w:sz w:val="24"/>
          <w:lang w:val="zh-CN"/>
        </w:rPr>
        <w:t xml:space="preserve">                  </w:t>
      </w:r>
      <w:r>
        <w:rPr>
          <w:sz w:val="24"/>
          <w:lang w:val="zh-CN"/>
        </w:rPr>
      </w:r>
      <w:r/>
    </w:p>
    <w:p>
      <w:pPr>
        <w:pStyle w:val="1070"/>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070"/>
        <w:spacing w:line="400" w:lineRule="exact"/>
        <w:rPr>
          <w:color w:val="000000"/>
          <w:sz w:val="24"/>
          <w:szCs w:val="20"/>
        </w:rPr>
      </w:pPr>
      <w:r>
        <w:rPr>
          <w:sz w:val="24"/>
          <w:szCs w:val="20"/>
        </w:rPr>
        <w:t xml:space="preserve">日期：_____年______月______日</w:t>
      </w:r>
      <w:r>
        <w:rPr>
          <w:color w:val="000000"/>
          <w:sz w:val="24"/>
          <w:szCs w:val="20"/>
        </w:rPr>
        <w:br w:type="page" w:clear="all"/>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Start w:id="584" w:name="_Toc150774765"/>
      <w:r/>
      <w:bookmarkStart w:id="585" w:name="_Toc305158830"/>
      <w:r/>
      <w:bookmarkStart w:id="586" w:name="_Toc226309806"/>
      <w:r/>
      <w:bookmarkStart w:id="587" w:name="_Toc265228400"/>
      <w:r/>
      <w:bookmarkStart w:id="588" w:name="_Toc226965835"/>
      <w:r/>
      <w:bookmarkStart w:id="589" w:name="_Toc142311062"/>
      <w:r/>
      <w:bookmarkStart w:id="590" w:name="_Toc305158904"/>
      <w:r/>
      <w:bookmarkStart w:id="591" w:name="_Toc150480798"/>
      <w:r/>
      <w:bookmarkStart w:id="592" w:name="_Toc264969252"/>
      <w:r/>
      <w:bookmarkStart w:id="593" w:name="_Toc226337258"/>
      <w:r/>
      <w:bookmarkStart w:id="594" w:name="_Toc226965752"/>
      <w:r/>
      <w:bookmarkStart w:id="595" w:name="_Toc127151562"/>
      <w:r/>
      <w:bookmarkStart w:id="596" w:name="_Toc195842927"/>
      <w:r/>
      <w:bookmarkStart w:id="597" w:name="_Toc150480797"/>
      <w:r/>
      <w:bookmarkStart w:id="598" w:name="_Toc305158903"/>
      <w:r/>
      <w:bookmarkStart w:id="599" w:name="_Toc226965834"/>
      <w:r/>
      <w:bookmarkStart w:id="600" w:name="_Toc226309805"/>
      <w:r/>
      <w:bookmarkStart w:id="601" w:name="_Toc265228399"/>
      <w:r/>
      <w:bookmarkStart w:id="602" w:name="_Toc226965751"/>
      <w:r/>
      <w:bookmarkStart w:id="603" w:name="_Toc264969251"/>
      <w:r/>
      <w:bookmarkStart w:id="604" w:name="_Toc142311061"/>
      <w:r/>
      <w:bookmarkStart w:id="605" w:name="_Toc226337257"/>
      <w:r/>
      <w:bookmarkStart w:id="606" w:name="_Toc150774764"/>
      <w:r/>
      <w:bookmarkStart w:id="607" w:name="_Toc195842926"/>
      <w:r/>
      <w:bookmarkStart w:id="608" w:name="_Toc127151561"/>
      <w:r/>
      <w:bookmarkStart w:id="609" w:name="_Toc305158829"/>
      <w:r>
        <w:rPr>
          <w:rFonts w:hint="eastAsia"/>
          <w:color w:val="000000"/>
          <w:sz w:val="24"/>
          <w:szCs w:val="20"/>
        </w:rPr>
        <w:t xml:space="preserve">8</w:t>
      </w:r>
      <w:r>
        <w:rPr>
          <w:color w:val="000000"/>
          <w:sz w:val="24"/>
          <w:szCs w:val="20"/>
        </w:rPr>
        <w:t xml:space="preserve">  合同条款偏离表</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color w:val="000000"/>
          <w:sz w:val="24"/>
          <w:szCs w:val="20"/>
        </w:rPr>
      </w:r>
      <w:r/>
    </w:p>
    <w:p>
      <w:pPr>
        <w:pStyle w:val="1070"/>
        <w:spacing w:line="360" w:lineRule="auto"/>
        <w:rPr>
          <w:color w:val="000000"/>
          <w:sz w:val="24"/>
          <w:szCs w:val="20"/>
        </w:rPr>
      </w:pPr>
      <w:r>
        <w:rPr>
          <w:color w:val="000000"/>
          <w:sz w:val="24"/>
          <w:szCs w:val="20"/>
        </w:rPr>
      </w:r>
      <w:r/>
    </w:p>
    <w:p>
      <w:pPr>
        <w:pStyle w:val="1070"/>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70"/>
        <w:jc w:val="center"/>
        <w:rPr>
          <w:color w:val="000000"/>
          <w:sz w:val="36"/>
          <w:szCs w:val="36"/>
        </w:rPr>
      </w:pPr>
      <w:r>
        <w:rPr>
          <w:color w:val="000000"/>
          <w:sz w:val="36"/>
          <w:szCs w:val="36"/>
        </w:rPr>
      </w:r>
      <w:r/>
    </w:p>
    <w:p>
      <w:pPr>
        <w:pStyle w:val="1070"/>
        <w:spacing w:line="360" w:lineRule="auto"/>
        <w:rPr>
          <w:color w:val="000000"/>
          <w:sz w:val="24"/>
          <w:szCs w:val="20"/>
        </w:rPr>
      </w:pPr>
      <w:r>
        <w:rPr>
          <w:color w:val="000000"/>
          <w:sz w:val="24"/>
          <w:szCs w:val="20"/>
        </w:rPr>
      </w:r>
      <w:r/>
    </w:p>
    <w:p>
      <w:pPr>
        <w:pStyle w:val="1070"/>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70"/>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070"/>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70"/>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1070"/>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070"/>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1070"/>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1070"/>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1070"/>
              <w:jc w:val="center"/>
              <w:rPr>
                <w:color w:val="000000"/>
                <w:sz w:val="24"/>
              </w:rPr>
            </w:pPr>
            <w:r>
              <w:rPr>
                <w:color w:val="000000"/>
                <w:sz w:val="24"/>
              </w:rPr>
              <w:t xml:space="preserve">偏离情况</w:t>
            </w:r>
            <w:r>
              <w:rPr>
                <w:color w:val="000000"/>
                <w:sz w:val="24"/>
              </w:rPr>
            </w:r>
            <w:r/>
          </w:p>
          <w:p>
            <w:pPr>
              <w:pStyle w:val="1070"/>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1070"/>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070"/>
              <w:jc w:val="center"/>
              <w:rPr>
                <w:color w:val="000000"/>
                <w:sz w:val="24"/>
              </w:rPr>
            </w:pPr>
            <w:r>
              <w:rPr>
                <w:color w:val="000000"/>
                <w:sz w:val="24"/>
              </w:rPr>
            </w:r>
            <w:r/>
          </w:p>
        </w:tc>
        <w:tc>
          <w:tcPr>
            <w:tcW w:w="1301" w:type="dxa"/>
            <w:vAlign w:val="center"/>
            <w:textDirection w:val="lrTb"/>
            <w:noWrap w:val="false"/>
          </w:tcPr>
          <w:p>
            <w:pPr>
              <w:pStyle w:val="1070"/>
              <w:jc w:val="center"/>
              <w:rPr>
                <w:color w:val="000000"/>
                <w:sz w:val="24"/>
              </w:rPr>
            </w:pPr>
            <w:r>
              <w:rPr>
                <w:color w:val="000000"/>
                <w:sz w:val="24"/>
              </w:rPr>
            </w:r>
            <w:r/>
          </w:p>
        </w:tc>
        <w:tc>
          <w:tcPr>
            <w:tcW w:w="2007" w:type="dxa"/>
            <w:vAlign w:val="center"/>
            <w:textDirection w:val="lrTb"/>
            <w:noWrap w:val="false"/>
          </w:tcPr>
          <w:p>
            <w:pPr>
              <w:pStyle w:val="1070"/>
              <w:jc w:val="center"/>
              <w:rPr>
                <w:color w:val="000000"/>
                <w:sz w:val="24"/>
              </w:rPr>
            </w:pPr>
            <w:r>
              <w:rPr>
                <w:color w:val="000000"/>
                <w:sz w:val="24"/>
              </w:rPr>
            </w:r>
            <w:r/>
          </w:p>
        </w:tc>
        <w:tc>
          <w:tcPr>
            <w:tcW w:w="2008" w:type="dxa"/>
            <w:vAlign w:val="center"/>
            <w:textDirection w:val="lrTb"/>
            <w:noWrap w:val="false"/>
          </w:tcPr>
          <w:p>
            <w:pPr>
              <w:pStyle w:val="1070"/>
              <w:jc w:val="center"/>
              <w:rPr>
                <w:color w:val="000000"/>
                <w:sz w:val="24"/>
              </w:rPr>
            </w:pPr>
            <w:r>
              <w:rPr>
                <w:color w:val="000000"/>
                <w:sz w:val="24"/>
              </w:rPr>
            </w:r>
            <w:r/>
          </w:p>
        </w:tc>
        <w:tc>
          <w:tcPr>
            <w:tcW w:w="2458" w:type="dxa"/>
            <w:vAlign w:val="center"/>
            <w:textDirection w:val="lrTb"/>
            <w:noWrap w:val="false"/>
          </w:tcPr>
          <w:p>
            <w:pPr>
              <w:pStyle w:val="1070"/>
              <w:jc w:val="center"/>
              <w:rPr>
                <w:color w:val="000000"/>
                <w:sz w:val="24"/>
              </w:rPr>
            </w:pPr>
            <w:r>
              <w:rPr>
                <w:color w:val="000000"/>
                <w:sz w:val="24"/>
              </w:rPr>
            </w:r>
            <w:r/>
          </w:p>
        </w:tc>
        <w:tc>
          <w:tcPr>
            <w:tcW w:w="788" w:type="dxa"/>
            <w:vAlign w:val="center"/>
            <w:textDirection w:val="lrTb"/>
            <w:noWrap w:val="false"/>
          </w:tcPr>
          <w:p>
            <w:pPr>
              <w:pStyle w:val="1070"/>
              <w:jc w:val="center"/>
              <w:rPr>
                <w:color w:val="000000"/>
                <w:sz w:val="24"/>
              </w:rPr>
            </w:pPr>
            <w:r>
              <w:rPr>
                <w:color w:val="000000"/>
                <w:sz w:val="24"/>
              </w:rPr>
            </w:r>
            <w:r/>
          </w:p>
        </w:tc>
      </w:tr>
      <w:tr>
        <w:trPr>
          <w:trHeight w:val="930"/>
        </w:trPr>
        <w:tc>
          <w:tcPr>
            <w:tcW w:w="834" w:type="dxa"/>
            <w:vAlign w:val="center"/>
            <w:textDirection w:val="lrTb"/>
            <w:noWrap w:val="false"/>
          </w:tcPr>
          <w:p>
            <w:pPr>
              <w:pStyle w:val="1070"/>
              <w:jc w:val="center"/>
              <w:rPr>
                <w:color w:val="000000"/>
                <w:sz w:val="24"/>
              </w:rPr>
            </w:pPr>
            <w:r>
              <w:rPr>
                <w:color w:val="000000"/>
                <w:sz w:val="24"/>
              </w:rPr>
            </w:r>
            <w:r/>
          </w:p>
        </w:tc>
        <w:tc>
          <w:tcPr>
            <w:tcW w:w="1301" w:type="dxa"/>
            <w:vAlign w:val="center"/>
            <w:textDirection w:val="lrTb"/>
            <w:noWrap w:val="false"/>
          </w:tcPr>
          <w:p>
            <w:pPr>
              <w:pStyle w:val="1070"/>
              <w:jc w:val="center"/>
              <w:rPr>
                <w:color w:val="000000"/>
                <w:sz w:val="24"/>
              </w:rPr>
            </w:pPr>
            <w:r>
              <w:rPr>
                <w:color w:val="000000"/>
                <w:sz w:val="24"/>
              </w:rPr>
            </w:r>
            <w:r/>
          </w:p>
        </w:tc>
        <w:tc>
          <w:tcPr>
            <w:tcW w:w="2007" w:type="dxa"/>
            <w:vAlign w:val="center"/>
            <w:textDirection w:val="lrTb"/>
            <w:noWrap w:val="false"/>
          </w:tcPr>
          <w:p>
            <w:pPr>
              <w:pStyle w:val="1070"/>
              <w:jc w:val="center"/>
              <w:rPr>
                <w:color w:val="000000"/>
                <w:sz w:val="24"/>
              </w:rPr>
            </w:pPr>
            <w:r>
              <w:rPr>
                <w:color w:val="000000"/>
                <w:sz w:val="24"/>
              </w:rPr>
            </w:r>
            <w:r/>
          </w:p>
        </w:tc>
        <w:tc>
          <w:tcPr>
            <w:tcW w:w="2008" w:type="dxa"/>
            <w:vAlign w:val="center"/>
            <w:textDirection w:val="lrTb"/>
            <w:noWrap w:val="false"/>
          </w:tcPr>
          <w:p>
            <w:pPr>
              <w:pStyle w:val="1070"/>
              <w:jc w:val="center"/>
              <w:rPr>
                <w:color w:val="000000"/>
                <w:sz w:val="24"/>
              </w:rPr>
            </w:pPr>
            <w:r>
              <w:rPr>
                <w:color w:val="000000"/>
                <w:sz w:val="24"/>
              </w:rPr>
            </w:r>
            <w:r/>
          </w:p>
        </w:tc>
        <w:tc>
          <w:tcPr>
            <w:tcW w:w="2458" w:type="dxa"/>
            <w:vAlign w:val="center"/>
            <w:textDirection w:val="lrTb"/>
            <w:noWrap w:val="false"/>
          </w:tcPr>
          <w:p>
            <w:pPr>
              <w:pStyle w:val="1070"/>
              <w:jc w:val="center"/>
              <w:rPr>
                <w:color w:val="000000"/>
                <w:sz w:val="24"/>
              </w:rPr>
            </w:pPr>
            <w:r>
              <w:rPr>
                <w:color w:val="000000"/>
                <w:sz w:val="24"/>
              </w:rPr>
            </w:r>
            <w:r/>
          </w:p>
        </w:tc>
        <w:tc>
          <w:tcPr>
            <w:tcW w:w="788" w:type="dxa"/>
            <w:vAlign w:val="center"/>
            <w:textDirection w:val="lrTb"/>
            <w:noWrap w:val="false"/>
          </w:tcPr>
          <w:p>
            <w:pPr>
              <w:pStyle w:val="1070"/>
              <w:jc w:val="center"/>
              <w:rPr>
                <w:color w:val="000000"/>
                <w:sz w:val="24"/>
              </w:rPr>
            </w:pPr>
            <w:r>
              <w:rPr>
                <w:color w:val="000000"/>
                <w:sz w:val="24"/>
              </w:rPr>
            </w:r>
            <w:r/>
          </w:p>
        </w:tc>
      </w:tr>
      <w:tr>
        <w:trPr>
          <w:trHeight w:val="930"/>
        </w:trPr>
        <w:tc>
          <w:tcPr>
            <w:tcW w:w="834" w:type="dxa"/>
            <w:vAlign w:val="center"/>
            <w:textDirection w:val="lrTb"/>
            <w:noWrap w:val="false"/>
          </w:tcPr>
          <w:p>
            <w:pPr>
              <w:pStyle w:val="1070"/>
              <w:jc w:val="center"/>
              <w:rPr>
                <w:color w:val="000000"/>
                <w:sz w:val="24"/>
              </w:rPr>
            </w:pPr>
            <w:r>
              <w:rPr>
                <w:color w:val="000000"/>
                <w:sz w:val="24"/>
              </w:rPr>
            </w:r>
            <w:r/>
          </w:p>
        </w:tc>
        <w:tc>
          <w:tcPr>
            <w:tcW w:w="1301" w:type="dxa"/>
            <w:vAlign w:val="center"/>
            <w:textDirection w:val="lrTb"/>
            <w:noWrap w:val="false"/>
          </w:tcPr>
          <w:p>
            <w:pPr>
              <w:pStyle w:val="1070"/>
              <w:jc w:val="center"/>
              <w:rPr>
                <w:color w:val="000000"/>
                <w:sz w:val="24"/>
              </w:rPr>
            </w:pPr>
            <w:r>
              <w:rPr>
                <w:color w:val="000000"/>
                <w:sz w:val="24"/>
              </w:rPr>
            </w:r>
            <w:r/>
          </w:p>
        </w:tc>
        <w:tc>
          <w:tcPr>
            <w:tcW w:w="2007" w:type="dxa"/>
            <w:vAlign w:val="center"/>
            <w:textDirection w:val="lrTb"/>
            <w:noWrap w:val="false"/>
          </w:tcPr>
          <w:p>
            <w:pPr>
              <w:pStyle w:val="1070"/>
              <w:jc w:val="center"/>
              <w:rPr>
                <w:color w:val="000000"/>
                <w:sz w:val="24"/>
              </w:rPr>
            </w:pPr>
            <w:r>
              <w:rPr>
                <w:color w:val="000000"/>
                <w:sz w:val="24"/>
              </w:rPr>
            </w:r>
            <w:r/>
          </w:p>
        </w:tc>
        <w:tc>
          <w:tcPr>
            <w:tcW w:w="2008" w:type="dxa"/>
            <w:vAlign w:val="center"/>
            <w:textDirection w:val="lrTb"/>
            <w:noWrap w:val="false"/>
          </w:tcPr>
          <w:p>
            <w:pPr>
              <w:pStyle w:val="1070"/>
              <w:jc w:val="center"/>
              <w:rPr>
                <w:color w:val="000000"/>
                <w:sz w:val="24"/>
              </w:rPr>
            </w:pPr>
            <w:r>
              <w:rPr>
                <w:color w:val="000000"/>
                <w:sz w:val="24"/>
              </w:rPr>
            </w:r>
            <w:r/>
          </w:p>
        </w:tc>
        <w:tc>
          <w:tcPr>
            <w:tcW w:w="2458" w:type="dxa"/>
            <w:vAlign w:val="center"/>
            <w:textDirection w:val="lrTb"/>
            <w:noWrap w:val="false"/>
          </w:tcPr>
          <w:p>
            <w:pPr>
              <w:pStyle w:val="1070"/>
              <w:jc w:val="center"/>
              <w:rPr>
                <w:color w:val="000000"/>
                <w:sz w:val="24"/>
              </w:rPr>
            </w:pPr>
            <w:r>
              <w:rPr>
                <w:color w:val="000000"/>
                <w:sz w:val="24"/>
              </w:rPr>
            </w:r>
            <w:r/>
          </w:p>
        </w:tc>
        <w:tc>
          <w:tcPr>
            <w:tcW w:w="788" w:type="dxa"/>
            <w:vAlign w:val="center"/>
            <w:textDirection w:val="lrTb"/>
            <w:noWrap w:val="false"/>
          </w:tcPr>
          <w:p>
            <w:pPr>
              <w:pStyle w:val="1070"/>
              <w:jc w:val="center"/>
              <w:rPr>
                <w:color w:val="000000"/>
                <w:sz w:val="24"/>
              </w:rPr>
            </w:pPr>
            <w:r>
              <w:rPr>
                <w:color w:val="000000"/>
                <w:sz w:val="24"/>
              </w:rPr>
            </w:r>
            <w:r/>
          </w:p>
        </w:tc>
      </w:tr>
      <w:tr>
        <w:trPr>
          <w:trHeight w:val="930"/>
        </w:trPr>
        <w:tc>
          <w:tcPr>
            <w:tcW w:w="834" w:type="dxa"/>
            <w:vAlign w:val="center"/>
            <w:textDirection w:val="lrTb"/>
            <w:noWrap w:val="false"/>
          </w:tcPr>
          <w:p>
            <w:pPr>
              <w:pStyle w:val="1070"/>
              <w:jc w:val="center"/>
              <w:rPr>
                <w:color w:val="000000"/>
                <w:sz w:val="24"/>
              </w:rPr>
            </w:pPr>
            <w:r>
              <w:rPr>
                <w:color w:val="000000"/>
                <w:sz w:val="24"/>
              </w:rPr>
            </w:r>
            <w:r/>
          </w:p>
        </w:tc>
        <w:tc>
          <w:tcPr>
            <w:tcW w:w="1301" w:type="dxa"/>
            <w:vAlign w:val="center"/>
            <w:textDirection w:val="lrTb"/>
            <w:noWrap w:val="false"/>
          </w:tcPr>
          <w:p>
            <w:pPr>
              <w:pStyle w:val="1070"/>
              <w:jc w:val="center"/>
              <w:rPr>
                <w:color w:val="000000"/>
                <w:sz w:val="24"/>
              </w:rPr>
            </w:pPr>
            <w:r>
              <w:rPr>
                <w:color w:val="000000"/>
                <w:sz w:val="24"/>
              </w:rPr>
            </w:r>
            <w:r/>
          </w:p>
        </w:tc>
        <w:tc>
          <w:tcPr>
            <w:tcW w:w="2007" w:type="dxa"/>
            <w:vAlign w:val="center"/>
            <w:textDirection w:val="lrTb"/>
            <w:noWrap w:val="false"/>
          </w:tcPr>
          <w:p>
            <w:pPr>
              <w:pStyle w:val="1070"/>
              <w:jc w:val="center"/>
              <w:rPr>
                <w:color w:val="000000"/>
                <w:sz w:val="24"/>
              </w:rPr>
            </w:pPr>
            <w:r>
              <w:rPr>
                <w:color w:val="000000"/>
                <w:sz w:val="24"/>
              </w:rPr>
            </w:r>
            <w:r/>
          </w:p>
        </w:tc>
        <w:tc>
          <w:tcPr>
            <w:tcW w:w="2008" w:type="dxa"/>
            <w:vAlign w:val="center"/>
            <w:textDirection w:val="lrTb"/>
            <w:noWrap w:val="false"/>
          </w:tcPr>
          <w:p>
            <w:pPr>
              <w:pStyle w:val="1070"/>
              <w:jc w:val="center"/>
              <w:rPr>
                <w:color w:val="000000"/>
                <w:sz w:val="24"/>
              </w:rPr>
            </w:pPr>
            <w:r>
              <w:rPr>
                <w:color w:val="000000"/>
                <w:sz w:val="24"/>
              </w:rPr>
            </w:r>
            <w:r/>
          </w:p>
        </w:tc>
        <w:tc>
          <w:tcPr>
            <w:tcW w:w="2458" w:type="dxa"/>
            <w:vAlign w:val="center"/>
            <w:textDirection w:val="lrTb"/>
            <w:noWrap w:val="false"/>
          </w:tcPr>
          <w:p>
            <w:pPr>
              <w:pStyle w:val="1070"/>
              <w:jc w:val="center"/>
              <w:rPr>
                <w:color w:val="000000"/>
                <w:sz w:val="24"/>
              </w:rPr>
            </w:pPr>
            <w:r>
              <w:rPr>
                <w:color w:val="000000"/>
                <w:sz w:val="24"/>
              </w:rPr>
            </w:r>
            <w:r/>
          </w:p>
        </w:tc>
        <w:tc>
          <w:tcPr>
            <w:tcW w:w="788" w:type="dxa"/>
            <w:vAlign w:val="center"/>
            <w:textDirection w:val="lrTb"/>
            <w:noWrap w:val="false"/>
          </w:tcPr>
          <w:p>
            <w:pPr>
              <w:pStyle w:val="1070"/>
              <w:jc w:val="center"/>
              <w:rPr>
                <w:color w:val="000000"/>
                <w:sz w:val="24"/>
              </w:rPr>
            </w:pPr>
            <w:r>
              <w:rPr>
                <w:color w:val="000000"/>
                <w:sz w:val="24"/>
              </w:rPr>
            </w:r>
            <w:r/>
          </w:p>
        </w:tc>
      </w:tr>
    </w:tbl>
    <w:p>
      <w:pPr>
        <w:pStyle w:val="1070"/>
        <w:jc w:val="left"/>
        <w:tabs>
          <w:tab w:val="left" w:pos="1800" w:leader="none"/>
          <w:tab w:val="left" w:pos="5580" w:leader="none"/>
        </w:tabs>
        <w:rPr>
          <w:color w:val="000000"/>
          <w:sz w:val="24"/>
        </w:rPr>
      </w:pPr>
      <w:r>
        <w:rPr>
          <w:color w:val="000000"/>
          <w:sz w:val="24"/>
        </w:rPr>
      </w:r>
      <w:r/>
    </w:p>
    <w:p>
      <w:pPr>
        <w:pStyle w:val="1070"/>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070"/>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070"/>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填写“正偏离”、“负偏离”。</w:t>
      </w:r>
      <w:r>
        <w:rPr>
          <w:color w:val="000000"/>
          <w:sz w:val="24"/>
        </w:rPr>
      </w:r>
      <w:r/>
    </w:p>
    <w:p>
      <w:pPr>
        <w:pStyle w:val="1070"/>
        <w:spacing w:line="360" w:lineRule="auto"/>
        <w:rPr>
          <w:color w:val="000000"/>
          <w:sz w:val="24"/>
          <w:szCs w:val="20"/>
        </w:rPr>
      </w:pPr>
      <w:r>
        <w:rPr>
          <w:color w:val="000000"/>
          <w:sz w:val="24"/>
          <w:szCs w:val="20"/>
        </w:rPr>
      </w:r>
      <w:r/>
    </w:p>
    <w:p>
      <w:pPr>
        <w:pStyle w:val="1070"/>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7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7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70"/>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9</w:t>
      </w:r>
      <w:r>
        <w:rPr>
          <w:color w:val="000000"/>
          <w:sz w:val="24"/>
          <w:szCs w:val="20"/>
        </w:rPr>
        <w:t xml:space="preserve"> </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Pr>
          <w:color w:val="000000"/>
          <w:sz w:val="24"/>
          <w:szCs w:val="20"/>
        </w:rPr>
        <w:t xml:space="preserve">采购需求偏离表</w:t>
      </w:r>
      <w:r>
        <w:rPr>
          <w:color w:val="000000"/>
          <w:sz w:val="24"/>
          <w:szCs w:val="20"/>
        </w:rPr>
      </w:r>
      <w:r/>
    </w:p>
    <w:p>
      <w:pPr>
        <w:pStyle w:val="1070"/>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70"/>
        <w:jc w:val="center"/>
        <w:rPr>
          <w:color w:val="000000"/>
          <w:sz w:val="36"/>
          <w:szCs w:val="36"/>
        </w:rPr>
      </w:pPr>
      <w:r>
        <w:rPr>
          <w:color w:val="000000"/>
          <w:sz w:val="36"/>
          <w:szCs w:val="36"/>
        </w:rPr>
      </w:r>
      <w:r/>
    </w:p>
    <w:p>
      <w:pPr>
        <w:pStyle w:val="1070"/>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488"/>
        <w:gridCol w:w="1782"/>
        <w:gridCol w:w="1981"/>
        <w:gridCol w:w="2427"/>
        <w:gridCol w:w="783"/>
      </w:tblGrid>
      <w:tr>
        <w:trPr>
          <w:trHeight w:val="930"/>
        </w:trPr>
        <w:tc>
          <w:tcPr>
            <w:tcW w:w="827" w:type="dxa"/>
            <w:vAlign w:val="center"/>
            <w:textDirection w:val="lrTb"/>
            <w:noWrap w:val="false"/>
          </w:tcPr>
          <w:p>
            <w:pPr>
              <w:pStyle w:val="1070"/>
              <w:jc w:val="center"/>
              <w:rPr>
                <w:color w:val="000000"/>
                <w:sz w:val="24"/>
              </w:rPr>
            </w:pPr>
            <w:r>
              <w:rPr>
                <w:color w:val="000000"/>
                <w:sz w:val="24"/>
              </w:rPr>
              <w:t xml:space="preserve">序号</w:t>
            </w:r>
            <w:r>
              <w:rPr>
                <w:color w:val="000000"/>
                <w:sz w:val="24"/>
              </w:rPr>
            </w:r>
            <w:r/>
          </w:p>
        </w:tc>
        <w:tc>
          <w:tcPr>
            <w:tcW w:w="1488" w:type="dxa"/>
            <w:vAlign w:val="center"/>
            <w:textDirection w:val="lrTb"/>
            <w:noWrap w:val="false"/>
          </w:tcPr>
          <w:p>
            <w:pPr>
              <w:pStyle w:val="1070"/>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782" w:type="dxa"/>
            <w:vAlign w:val="center"/>
            <w:textDirection w:val="lrTb"/>
            <w:noWrap w:val="false"/>
          </w:tcPr>
          <w:p>
            <w:pPr>
              <w:pStyle w:val="1070"/>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1070"/>
              <w:jc w:val="center"/>
              <w:rPr>
                <w:color w:val="000000"/>
                <w:sz w:val="24"/>
              </w:rPr>
            </w:pPr>
            <w:r>
              <w:rPr>
                <w:color w:val="000000"/>
                <w:sz w:val="24"/>
              </w:rPr>
              <w:t xml:space="preserve">响应内容</w:t>
            </w:r>
            <w:r>
              <w:rPr>
                <w:color w:val="000000"/>
                <w:sz w:val="24"/>
              </w:rPr>
            </w:r>
            <w:r/>
          </w:p>
        </w:tc>
        <w:tc>
          <w:tcPr>
            <w:tcW w:w="2427" w:type="dxa"/>
            <w:vAlign w:val="center"/>
            <w:textDirection w:val="lrTb"/>
            <w:noWrap w:val="false"/>
          </w:tcPr>
          <w:p>
            <w:pPr>
              <w:pStyle w:val="1070"/>
              <w:jc w:val="center"/>
              <w:rPr>
                <w:color w:val="000000"/>
                <w:sz w:val="24"/>
              </w:rPr>
            </w:pPr>
            <w:r>
              <w:rPr>
                <w:color w:val="000000"/>
                <w:sz w:val="24"/>
              </w:rPr>
              <w:t xml:space="preserve">偏离情况</w:t>
            </w:r>
            <w:r>
              <w:rPr>
                <w:color w:val="000000"/>
                <w:sz w:val="24"/>
              </w:rPr>
            </w:r>
            <w:r/>
          </w:p>
          <w:p>
            <w:pPr>
              <w:pStyle w:val="1070"/>
              <w:jc w:val="center"/>
              <w:rPr>
                <w:color w:val="000000"/>
                <w:sz w:val="24"/>
              </w:rPr>
            </w:pPr>
            <w:r>
              <w:rPr>
                <w:color w:val="000000"/>
                <w:sz w:val="24"/>
              </w:rPr>
              <w:t xml:space="preserve">（据实填写）</w:t>
            </w:r>
            <w:r>
              <w:rPr>
                <w:color w:val="000000"/>
                <w:sz w:val="24"/>
              </w:rPr>
            </w:r>
            <w:r/>
          </w:p>
        </w:tc>
        <w:tc>
          <w:tcPr>
            <w:tcW w:w="783" w:type="dxa"/>
            <w:vAlign w:val="center"/>
            <w:textDirection w:val="lrTb"/>
            <w:noWrap w:val="false"/>
          </w:tcPr>
          <w:p>
            <w:pPr>
              <w:pStyle w:val="1070"/>
              <w:jc w:val="center"/>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1070"/>
              <w:jc w:val="center"/>
              <w:rPr>
                <w:color w:val="000000"/>
                <w:sz w:val="24"/>
              </w:rPr>
            </w:pPr>
            <w:r>
              <w:rPr>
                <w:color w:val="000000"/>
                <w:sz w:val="24"/>
              </w:rPr>
            </w:r>
            <w:r/>
          </w:p>
        </w:tc>
        <w:tc>
          <w:tcPr>
            <w:tcW w:w="1488" w:type="dxa"/>
            <w:vAlign w:val="center"/>
            <w:textDirection w:val="lrTb"/>
            <w:noWrap w:val="false"/>
          </w:tcPr>
          <w:p>
            <w:pPr>
              <w:pStyle w:val="1070"/>
              <w:jc w:val="center"/>
              <w:rPr>
                <w:color w:val="000000"/>
                <w:sz w:val="24"/>
              </w:rPr>
            </w:pPr>
            <w:r>
              <w:rPr>
                <w:color w:val="000000"/>
                <w:sz w:val="24"/>
              </w:rPr>
            </w:r>
            <w:r/>
          </w:p>
        </w:tc>
        <w:tc>
          <w:tcPr>
            <w:tcW w:w="1782" w:type="dxa"/>
            <w:vAlign w:val="center"/>
            <w:textDirection w:val="lrTb"/>
            <w:noWrap w:val="false"/>
          </w:tcPr>
          <w:p>
            <w:pPr>
              <w:pStyle w:val="1070"/>
              <w:jc w:val="center"/>
              <w:rPr>
                <w:color w:val="000000"/>
                <w:sz w:val="24"/>
              </w:rPr>
            </w:pPr>
            <w:r>
              <w:rPr>
                <w:color w:val="000000"/>
                <w:sz w:val="24"/>
              </w:rPr>
            </w:r>
            <w:r/>
          </w:p>
        </w:tc>
        <w:tc>
          <w:tcPr>
            <w:tcW w:w="1981" w:type="dxa"/>
            <w:vAlign w:val="center"/>
            <w:textDirection w:val="lrTb"/>
            <w:noWrap w:val="false"/>
          </w:tcPr>
          <w:p>
            <w:pPr>
              <w:pStyle w:val="1070"/>
              <w:jc w:val="center"/>
              <w:rPr>
                <w:color w:val="000000"/>
                <w:sz w:val="24"/>
              </w:rPr>
            </w:pPr>
            <w:r>
              <w:rPr>
                <w:color w:val="000000"/>
                <w:sz w:val="24"/>
              </w:rPr>
            </w:r>
            <w:r/>
          </w:p>
        </w:tc>
        <w:tc>
          <w:tcPr>
            <w:tcW w:w="2427" w:type="dxa"/>
            <w:vAlign w:val="center"/>
            <w:textDirection w:val="lrTb"/>
            <w:noWrap w:val="false"/>
          </w:tcPr>
          <w:p>
            <w:pPr>
              <w:pStyle w:val="1070"/>
              <w:jc w:val="center"/>
              <w:rPr>
                <w:color w:val="000000"/>
                <w:sz w:val="24"/>
              </w:rPr>
            </w:pPr>
            <w:r>
              <w:rPr>
                <w:color w:val="000000"/>
                <w:sz w:val="24"/>
              </w:rPr>
            </w:r>
            <w:r/>
          </w:p>
        </w:tc>
        <w:tc>
          <w:tcPr>
            <w:tcW w:w="783" w:type="dxa"/>
            <w:vAlign w:val="center"/>
            <w:textDirection w:val="lrTb"/>
            <w:noWrap w:val="false"/>
          </w:tcPr>
          <w:p>
            <w:pPr>
              <w:pStyle w:val="1070"/>
              <w:jc w:val="center"/>
              <w:rPr>
                <w:color w:val="000000"/>
                <w:sz w:val="24"/>
              </w:rPr>
            </w:pPr>
            <w:r>
              <w:rPr>
                <w:color w:val="000000"/>
                <w:sz w:val="24"/>
              </w:rPr>
            </w:r>
            <w:r/>
          </w:p>
        </w:tc>
      </w:tr>
      <w:tr>
        <w:trPr>
          <w:trHeight w:val="930"/>
        </w:trPr>
        <w:tc>
          <w:tcPr>
            <w:tcW w:w="827" w:type="dxa"/>
            <w:vAlign w:val="center"/>
            <w:textDirection w:val="lrTb"/>
            <w:noWrap w:val="false"/>
          </w:tcPr>
          <w:p>
            <w:pPr>
              <w:pStyle w:val="1070"/>
              <w:jc w:val="center"/>
              <w:rPr>
                <w:color w:val="000000"/>
                <w:sz w:val="24"/>
              </w:rPr>
            </w:pPr>
            <w:r>
              <w:rPr>
                <w:color w:val="000000"/>
                <w:sz w:val="24"/>
              </w:rPr>
            </w:r>
            <w:r/>
          </w:p>
        </w:tc>
        <w:tc>
          <w:tcPr>
            <w:tcW w:w="1488" w:type="dxa"/>
            <w:vAlign w:val="center"/>
            <w:textDirection w:val="lrTb"/>
            <w:noWrap w:val="false"/>
          </w:tcPr>
          <w:p>
            <w:pPr>
              <w:pStyle w:val="1070"/>
              <w:jc w:val="center"/>
              <w:rPr>
                <w:color w:val="000000"/>
                <w:sz w:val="24"/>
              </w:rPr>
            </w:pPr>
            <w:r>
              <w:rPr>
                <w:color w:val="000000"/>
                <w:sz w:val="24"/>
              </w:rPr>
            </w:r>
            <w:r/>
          </w:p>
        </w:tc>
        <w:tc>
          <w:tcPr>
            <w:tcW w:w="1782" w:type="dxa"/>
            <w:vAlign w:val="center"/>
            <w:textDirection w:val="lrTb"/>
            <w:noWrap w:val="false"/>
          </w:tcPr>
          <w:p>
            <w:pPr>
              <w:pStyle w:val="1070"/>
              <w:jc w:val="center"/>
              <w:rPr>
                <w:color w:val="000000"/>
                <w:sz w:val="24"/>
              </w:rPr>
            </w:pPr>
            <w:r>
              <w:rPr>
                <w:color w:val="000000"/>
                <w:sz w:val="24"/>
              </w:rPr>
            </w:r>
            <w:r/>
          </w:p>
        </w:tc>
        <w:tc>
          <w:tcPr>
            <w:tcW w:w="1981" w:type="dxa"/>
            <w:vAlign w:val="center"/>
            <w:textDirection w:val="lrTb"/>
            <w:noWrap w:val="false"/>
          </w:tcPr>
          <w:p>
            <w:pPr>
              <w:pStyle w:val="1070"/>
              <w:jc w:val="center"/>
              <w:rPr>
                <w:color w:val="000000"/>
                <w:sz w:val="24"/>
              </w:rPr>
            </w:pPr>
            <w:r>
              <w:rPr>
                <w:color w:val="000000"/>
                <w:sz w:val="24"/>
              </w:rPr>
            </w:r>
            <w:r/>
          </w:p>
        </w:tc>
        <w:tc>
          <w:tcPr>
            <w:tcW w:w="2427" w:type="dxa"/>
            <w:vAlign w:val="center"/>
            <w:textDirection w:val="lrTb"/>
            <w:noWrap w:val="false"/>
          </w:tcPr>
          <w:p>
            <w:pPr>
              <w:pStyle w:val="1070"/>
              <w:jc w:val="center"/>
              <w:rPr>
                <w:color w:val="000000"/>
                <w:sz w:val="24"/>
              </w:rPr>
            </w:pPr>
            <w:r>
              <w:rPr>
                <w:color w:val="000000"/>
                <w:sz w:val="24"/>
              </w:rPr>
            </w:r>
            <w:r/>
          </w:p>
        </w:tc>
        <w:tc>
          <w:tcPr>
            <w:tcW w:w="783" w:type="dxa"/>
            <w:vAlign w:val="center"/>
            <w:textDirection w:val="lrTb"/>
            <w:noWrap w:val="false"/>
          </w:tcPr>
          <w:p>
            <w:pPr>
              <w:pStyle w:val="1070"/>
              <w:jc w:val="center"/>
              <w:rPr>
                <w:color w:val="000000"/>
                <w:sz w:val="24"/>
              </w:rPr>
            </w:pPr>
            <w:r>
              <w:rPr>
                <w:color w:val="000000"/>
                <w:sz w:val="24"/>
              </w:rPr>
            </w:r>
            <w:r/>
          </w:p>
        </w:tc>
      </w:tr>
      <w:tr>
        <w:trPr>
          <w:trHeight w:val="930"/>
        </w:trPr>
        <w:tc>
          <w:tcPr>
            <w:tcW w:w="827" w:type="dxa"/>
            <w:vAlign w:val="center"/>
            <w:textDirection w:val="lrTb"/>
            <w:noWrap w:val="false"/>
          </w:tcPr>
          <w:p>
            <w:pPr>
              <w:pStyle w:val="1070"/>
              <w:jc w:val="center"/>
              <w:rPr>
                <w:color w:val="000000"/>
                <w:sz w:val="24"/>
              </w:rPr>
            </w:pPr>
            <w:r>
              <w:rPr>
                <w:color w:val="000000"/>
                <w:sz w:val="24"/>
              </w:rPr>
            </w:r>
            <w:r/>
          </w:p>
        </w:tc>
        <w:tc>
          <w:tcPr>
            <w:tcW w:w="1488" w:type="dxa"/>
            <w:vAlign w:val="center"/>
            <w:textDirection w:val="lrTb"/>
            <w:noWrap w:val="false"/>
          </w:tcPr>
          <w:p>
            <w:pPr>
              <w:pStyle w:val="1070"/>
              <w:jc w:val="center"/>
              <w:rPr>
                <w:color w:val="000000"/>
                <w:sz w:val="24"/>
              </w:rPr>
            </w:pPr>
            <w:r>
              <w:rPr>
                <w:color w:val="000000"/>
                <w:sz w:val="24"/>
              </w:rPr>
            </w:r>
            <w:r/>
          </w:p>
        </w:tc>
        <w:tc>
          <w:tcPr>
            <w:tcW w:w="1782" w:type="dxa"/>
            <w:vAlign w:val="center"/>
            <w:textDirection w:val="lrTb"/>
            <w:noWrap w:val="false"/>
          </w:tcPr>
          <w:p>
            <w:pPr>
              <w:pStyle w:val="1070"/>
              <w:jc w:val="center"/>
              <w:rPr>
                <w:color w:val="000000"/>
                <w:sz w:val="24"/>
              </w:rPr>
            </w:pPr>
            <w:r>
              <w:rPr>
                <w:color w:val="000000"/>
                <w:sz w:val="24"/>
              </w:rPr>
            </w:r>
            <w:r/>
          </w:p>
        </w:tc>
        <w:tc>
          <w:tcPr>
            <w:tcW w:w="1981" w:type="dxa"/>
            <w:vAlign w:val="center"/>
            <w:textDirection w:val="lrTb"/>
            <w:noWrap w:val="false"/>
          </w:tcPr>
          <w:p>
            <w:pPr>
              <w:pStyle w:val="1070"/>
              <w:jc w:val="center"/>
              <w:rPr>
                <w:color w:val="000000"/>
                <w:sz w:val="24"/>
              </w:rPr>
            </w:pPr>
            <w:r>
              <w:rPr>
                <w:color w:val="000000"/>
                <w:sz w:val="24"/>
              </w:rPr>
            </w:r>
            <w:r/>
          </w:p>
        </w:tc>
        <w:tc>
          <w:tcPr>
            <w:tcW w:w="2427" w:type="dxa"/>
            <w:vAlign w:val="center"/>
            <w:textDirection w:val="lrTb"/>
            <w:noWrap w:val="false"/>
          </w:tcPr>
          <w:p>
            <w:pPr>
              <w:pStyle w:val="1070"/>
              <w:jc w:val="center"/>
              <w:rPr>
                <w:color w:val="000000"/>
                <w:sz w:val="24"/>
              </w:rPr>
            </w:pPr>
            <w:r>
              <w:rPr>
                <w:color w:val="000000"/>
                <w:sz w:val="24"/>
              </w:rPr>
            </w:r>
            <w:r/>
          </w:p>
        </w:tc>
        <w:tc>
          <w:tcPr>
            <w:tcW w:w="783" w:type="dxa"/>
            <w:vAlign w:val="center"/>
            <w:textDirection w:val="lrTb"/>
            <w:noWrap w:val="false"/>
          </w:tcPr>
          <w:p>
            <w:pPr>
              <w:pStyle w:val="1070"/>
              <w:jc w:val="center"/>
              <w:rPr>
                <w:color w:val="000000"/>
                <w:sz w:val="24"/>
              </w:rPr>
            </w:pPr>
            <w:r>
              <w:rPr>
                <w:color w:val="000000"/>
                <w:sz w:val="24"/>
              </w:rPr>
            </w:r>
            <w:r/>
          </w:p>
        </w:tc>
      </w:tr>
      <w:tr>
        <w:trPr>
          <w:trHeight w:val="930"/>
        </w:trPr>
        <w:tc>
          <w:tcPr>
            <w:tcW w:w="827" w:type="dxa"/>
            <w:vAlign w:val="center"/>
            <w:textDirection w:val="lrTb"/>
            <w:noWrap w:val="false"/>
          </w:tcPr>
          <w:p>
            <w:pPr>
              <w:pStyle w:val="1070"/>
              <w:jc w:val="center"/>
              <w:rPr>
                <w:color w:val="000000"/>
                <w:sz w:val="24"/>
              </w:rPr>
            </w:pPr>
            <w:r>
              <w:rPr>
                <w:color w:val="000000"/>
                <w:sz w:val="24"/>
              </w:rPr>
            </w:r>
            <w:r/>
          </w:p>
        </w:tc>
        <w:tc>
          <w:tcPr>
            <w:tcW w:w="1488" w:type="dxa"/>
            <w:vAlign w:val="center"/>
            <w:textDirection w:val="lrTb"/>
            <w:noWrap w:val="false"/>
          </w:tcPr>
          <w:p>
            <w:pPr>
              <w:pStyle w:val="1070"/>
              <w:jc w:val="center"/>
              <w:rPr>
                <w:color w:val="000000"/>
                <w:sz w:val="24"/>
              </w:rPr>
            </w:pPr>
            <w:r>
              <w:rPr>
                <w:color w:val="000000"/>
                <w:sz w:val="24"/>
              </w:rPr>
            </w:r>
            <w:r/>
          </w:p>
        </w:tc>
        <w:tc>
          <w:tcPr>
            <w:tcW w:w="1782" w:type="dxa"/>
            <w:vAlign w:val="center"/>
            <w:textDirection w:val="lrTb"/>
            <w:noWrap w:val="false"/>
          </w:tcPr>
          <w:p>
            <w:pPr>
              <w:pStyle w:val="1070"/>
              <w:jc w:val="center"/>
              <w:rPr>
                <w:color w:val="000000"/>
                <w:sz w:val="24"/>
              </w:rPr>
            </w:pPr>
            <w:r>
              <w:rPr>
                <w:color w:val="000000"/>
                <w:sz w:val="24"/>
              </w:rPr>
            </w:r>
            <w:r/>
          </w:p>
        </w:tc>
        <w:tc>
          <w:tcPr>
            <w:tcW w:w="1981" w:type="dxa"/>
            <w:vAlign w:val="center"/>
            <w:textDirection w:val="lrTb"/>
            <w:noWrap w:val="false"/>
          </w:tcPr>
          <w:p>
            <w:pPr>
              <w:pStyle w:val="1070"/>
              <w:jc w:val="center"/>
              <w:rPr>
                <w:color w:val="000000"/>
                <w:sz w:val="24"/>
              </w:rPr>
            </w:pPr>
            <w:r>
              <w:rPr>
                <w:color w:val="000000"/>
                <w:sz w:val="24"/>
              </w:rPr>
            </w:r>
            <w:r/>
          </w:p>
        </w:tc>
        <w:tc>
          <w:tcPr>
            <w:tcW w:w="2427" w:type="dxa"/>
            <w:vAlign w:val="center"/>
            <w:textDirection w:val="lrTb"/>
            <w:noWrap w:val="false"/>
          </w:tcPr>
          <w:p>
            <w:pPr>
              <w:pStyle w:val="1070"/>
              <w:jc w:val="center"/>
              <w:rPr>
                <w:color w:val="000000"/>
                <w:sz w:val="24"/>
              </w:rPr>
            </w:pPr>
            <w:r>
              <w:rPr>
                <w:color w:val="000000"/>
                <w:sz w:val="24"/>
              </w:rPr>
            </w:r>
            <w:r/>
          </w:p>
        </w:tc>
        <w:tc>
          <w:tcPr>
            <w:tcW w:w="783" w:type="dxa"/>
            <w:vAlign w:val="center"/>
            <w:textDirection w:val="lrTb"/>
            <w:noWrap w:val="false"/>
          </w:tcPr>
          <w:p>
            <w:pPr>
              <w:pStyle w:val="1070"/>
              <w:jc w:val="center"/>
              <w:rPr>
                <w:color w:val="000000"/>
                <w:sz w:val="24"/>
              </w:rPr>
            </w:pPr>
            <w:r>
              <w:rPr>
                <w:color w:val="000000"/>
                <w:sz w:val="24"/>
              </w:rPr>
            </w:r>
            <w:r/>
          </w:p>
        </w:tc>
      </w:tr>
    </w:tbl>
    <w:p>
      <w:pPr>
        <w:pStyle w:val="1070"/>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70"/>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70"/>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070"/>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070"/>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填写“正偏离”、“负偏离”或“无偏离”。</w:t>
      </w:r>
      <w:r>
        <w:rPr>
          <w:color w:val="000000"/>
          <w:sz w:val="24"/>
        </w:rPr>
      </w:r>
      <w:r/>
    </w:p>
    <w:p>
      <w:pPr>
        <w:pStyle w:val="1070"/>
        <w:jc w:val="left"/>
        <w:tabs>
          <w:tab w:val="left" w:pos="1800" w:leader="none"/>
          <w:tab w:val="left" w:pos="5580" w:leader="none"/>
        </w:tabs>
        <w:rPr>
          <w:color w:val="000000"/>
          <w:sz w:val="24"/>
        </w:rPr>
      </w:pPr>
      <w:r>
        <w:rPr>
          <w:color w:val="000000"/>
          <w:sz w:val="24"/>
        </w:rPr>
      </w:r>
      <w:r/>
    </w:p>
    <w:p>
      <w:pPr>
        <w:pStyle w:val="1070"/>
        <w:rPr>
          <w:color w:val="000000"/>
          <w:sz w:val="24"/>
          <w:szCs w:val="20"/>
        </w:rPr>
      </w:pPr>
      <w:r>
        <w:rPr>
          <w:color w:val="000000"/>
          <w:sz w:val="24"/>
          <w:szCs w:val="20"/>
        </w:rPr>
      </w:r>
      <w:r/>
    </w:p>
    <w:p>
      <w:pPr>
        <w:pStyle w:val="1070"/>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7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7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70"/>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10</w:t>
      </w:r>
      <w:r>
        <w:rPr>
          <w:color w:val="000000"/>
          <w:sz w:val="24"/>
          <w:szCs w:val="20"/>
        </w:rPr>
        <w:t xml:space="preserve"> 中小企业声明函</w:t>
      </w:r>
      <w:r>
        <w:rPr>
          <w:color w:val="000000"/>
          <w:sz w:val="24"/>
          <w:szCs w:val="20"/>
        </w:rPr>
      </w:r>
      <w:r/>
    </w:p>
    <w:p>
      <w:pPr>
        <w:pStyle w:val="1070"/>
        <w:spacing w:line="360" w:lineRule="auto"/>
        <w:tabs>
          <w:tab w:val="left" w:pos="5580" w:leader="none"/>
        </w:tabs>
        <w:rPr>
          <w:sz w:val="24"/>
        </w:rPr>
      </w:pPr>
      <w:r>
        <w:rPr>
          <w:rFonts w:hint="eastAsia"/>
          <w:sz w:val="24"/>
        </w:rPr>
        <w:t xml:space="preserve">说明：</w:t>
      </w:r>
      <w:r>
        <w:rPr>
          <w:sz w:val="24"/>
        </w:rPr>
      </w:r>
      <w:r/>
    </w:p>
    <w:p>
      <w:pPr>
        <w:pStyle w:val="1070"/>
        <w:spacing w:line="360" w:lineRule="auto"/>
        <w:tabs>
          <w:tab w:val="left" w:pos="5580" w:leader="none"/>
        </w:tabs>
        <w:rPr>
          <w:sz w:val="24"/>
        </w:rPr>
      </w:pPr>
      <w:r>
        <w:rPr>
          <w:rFonts w:hint="eastAsia"/>
          <w:sz w:val="24"/>
        </w:rPr>
        <w:t xml:space="preserve">1）供应商如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1070"/>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70"/>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1070"/>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070"/>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146"/>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070"/>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0"/>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中小企业声明函（服务）格式</w:t>
      </w:r>
      <w:r>
        <w:rPr>
          <w:b/>
          <w:bCs/>
          <w:color w:val="000000"/>
          <w:sz w:val="36"/>
          <w:szCs w:val="36"/>
        </w:rPr>
      </w:r>
      <w:r/>
    </w:p>
    <w:p>
      <w:pPr>
        <w:pStyle w:val="1070"/>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70"/>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070"/>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70"/>
        <w:ind w:firstLine="504"/>
        <w:spacing w:line="360" w:lineRule="auto"/>
        <w:rPr>
          <w:spacing w:val="6"/>
          <w:sz w:val="24"/>
        </w:rPr>
      </w:pPr>
      <w:r>
        <w:rPr>
          <w:spacing w:val="6"/>
          <w:sz w:val="24"/>
        </w:rPr>
      </w:r>
      <w:r/>
    </w:p>
    <w:p>
      <w:pPr>
        <w:pStyle w:val="1070"/>
        <w:ind w:firstLine="504"/>
        <w:spacing w:line="360" w:lineRule="auto"/>
        <w:rPr>
          <w:spacing w:val="6"/>
          <w:sz w:val="24"/>
        </w:rPr>
      </w:pPr>
      <w:r>
        <w:rPr>
          <w:spacing w:val="6"/>
          <w:sz w:val="24"/>
        </w:rPr>
        <w:t xml:space="preserve">……</w:t>
      </w:r>
      <w:r>
        <w:rPr>
          <w:spacing w:val="6"/>
          <w:sz w:val="24"/>
        </w:rPr>
      </w:r>
      <w:r/>
    </w:p>
    <w:p>
      <w:pPr>
        <w:pStyle w:val="1070"/>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70"/>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70"/>
        <w:ind w:right="360" w:firstLine="480"/>
        <w:jc w:val="right"/>
        <w:spacing w:line="360" w:lineRule="auto"/>
        <w:rPr>
          <w:color w:val="000000"/>
          <w:sz w:val="24"/>
        </w:rPr>
      </w:pPr>
      <w:r>
        <w:rPr>
          <w:color w:val="000000"/>
          <w:sz w:val="24"/>
        </w:rPr>
      </w:r>
      <w:r/>
    </w:p>
    <w:p>
      <w:pPr>
        <w:pStyle w:val="1070"/>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70"/>
        <w:ind w:right="360" w:firstLine="480"/>
        <w:jc w:val="right"/>
        <w:spacing w:line="360" w:lineRule="auto"/>
        <w:rPr>
          <w:color w:val="000000"/>
          <w:sz w:val="24"/>
        </w:rPr>
      </w:pPr>
      <w:r>
        <w:rPr>
          <w:color w:val="000000"/>
          <w:sz w:val="24"/>
        </w:rPr>
        <w:t xml:space="preserve">日 期：________</w:t>
      </w:r>
      <w:r>
        <w:rPr>
          <w:color w:val="000000"/>
          <w:sz w:val="24"/>
        </w:rPr>
      </w:r>
      <w:r/>
    </w:p>
    <w:p>
      <w:pPr>
        <w:pStyle w:val="1070"/>
        <w:jc w:val="left"/>
        <w:rPr>
          <w:color w:val="000000"/>
          <w:sz w:val="24"/>
          <w:szCs w:val="21"/>
        </w:rPr>
      </w:pPr>
      <w:r>
        <w:rPr>
          <w:color w:val="000000"/>
          <w:sz w:val="24"/>
          <w:szCs w:val="21"/>
        </w:rPr>
      </w:r>
      <w:r/>
    </w:p>
    <w:p>
      <w:pPr>
        <w:pStyle w:val="1070"/>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70"/>
        <w:jc w:val="left"/>
        <w:rPr>
          <w:color w:val="000000"/>
          <w:szCs w:val="21"/>
          <w:vertAlign w:val="superscript"/>
        </w:rPr>
      </w:pPr>
      <w:r>
        <w:rPr>
          <w:color w:val="000000"/>
          <w:szCs w:val="21"/>
          <w:vertAlign w:val="superscript"/>
        </w:rPr>
      </w:r>
      <w:r/>
    </w:p>
    <w:p>
      <w:pPr>
        <w:pStyle w:val="1070"/>
        <w:ind w:right="360" w:firstLine="480"/>
        <w:jc w:val="right"/>
        <w:spacing w:line="360" w:lineRule="auto"/>
        <w:rPr>
          <w:color w:val="000000"/>
          <w:sz w:val="24"/>
        </w:rPr>
      </w:pPr>
      <w:r>
        <w:rPr>
          <w:color w:val="000000"/>
          <w:sz w:val="24"/>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color w:val="000000"/>
          <w:sz w:val="24"/>
          <w:szCs w:val="20"/>
        </w:rPr>
        <w:outlineLvl w:val="2"/>
      </w:pPr>
      <w:r>
        <w:rPr>
          <w:color w:val="000000"/>
          <w:sz w:val="24"/>
          <w:szCs w:val="20"/>
        </w:rPr>
      </w:r>
      <w:r/>
    </w:p>
    <w:p>
      <w:pPr>
        <w:pStyle w:val="1070"/>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070"/>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70"/>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70"/>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70"/>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70"/>
        <w:ind w:firstLine="504"/>
        <w:spacing w:line="588" w:lineRule="exact"/>
        <w:rPr>
          <w:spacing w:val="6"/>
          <w:sz w:val="24"/>
        </w:rPr>
      </w:pPr>
      <w:r>
        <w:rPr>
          <w:spacing w:val="6"/>
          <w:sz w:val="24"/>
        </w:rPr>
      </w:r>
      <w:r/>
    </w:p>
    <w:p>
      <w:pPr>
        <w:pStyle w:val="1070"/>
        <w:ind w:firstLine="504"/>
        <w:spacing w:line="588" w:lineRule="exact"/>
        <w:rPr>
          <w:spacing w:val="6"/>
          <w:sz w:val="24"/>
        </w:rPr>
      </w:pPr>
      <w:r>
        <w:rPr>
          <w:spacing w:val="6"/>
          <w:sz w:val="24"/>
        </w:rPr>
      </w:r>
      <w:r/>
    </w:p>
    <w:p>
      <w:pPr>
        <w:pStyle w:val="1070"/>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070"/>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70"/>
        <w:spacing w:line="360" w:lineRule="auto"/>
        <w:rPr>
          <w:b/>
          <w:color w:val="000000"/>
          <w:sz w:val="24"/>
        </w:rPr>
        <w:outlineLvl w:val="2"/>
      </w:pPr>
      <w:r>
        <w:rPr>
          <w:b/>
          <w:color w:val="000000"/>
          <w:sz w:val="24"/>
        </w:rPr>
      </w:r>
      <w:r/>
    </w:p>
    <w:p>
      <w:pPr>
        <w:pStyle w:val="1070"/>
        <w:rPr>
          <w:color w:val="000000"/>
          <w:sz w:val="24"/>
          <w:szCs w:val="20"/>
        </w:rPr>
      </w:pPr>
      <w:r>
        <w:rPr>
          <w:color w:val="000000"/>
          <w:sz w:val="24"/>
          <w:szCs w:val="20"/>
        </w:rPr>
        <w:br w:type="page" w:clear="all"/>
      </w:r>
      <w:r>
        <w:rPr>
          <w:rFonts w:hint="eastAsia"/>
          <w:color w:val="000000"/>
          <w:sz w:val="24"/>
          <w:szCs w:val="20"/>
        </w:rPr>
        <w:t xml:space="preserve">11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1070"/>
        <w:ind w:firstLine="482"/>
        <w:spacing w:line="560" w:lineRule="exact"/>
        <w:rPr>
          <w:color w:val="000000"/>
          <w:sz w:val="24"/>
          <w:szCs w:val="20"/>
        </w:rPr>
      </w:pPr>
      <w:r>
        <w:rPr>
          <w:rFonts w:hint="eastAsia"/>
          <w:b/>
          <w:bCs/>
          <w:color w:val="000000"/>
          <w:sz w:val="24"/>
          <w:szCs w:val="20"/>
        </w:rPr>
        <w:t xml:space="preserve">根据实际方案自行编制方案目录</w:t>
      </w:r>
      <w:r>
        <w:rPr>
          <w:color w:val="000000"/>
          <w:sz w:val="24"/>
          <w:szCs w:val="20"/>
        </w:rPr>
      </w:r>
      <w:r/>
    </w:p>
    <w:p>
      <w:pPr>
        <w:pStyle w:val="1070"/>
        <w:ind w:firstLine="480"/>
        <w:spacing w:line="560" w:lineRule="exact"/>
        <w:rPr>
          <w:color w:val="000000"/>
          <w:sz w:val="24"/>
          <w:szCs w:val="20"/>
        </w:rPr>
      </w:pPr>
      <w:r>
        <w:rPr>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2"/>
        <w:rPr>
          <w:rFonts w:hint="eastAsia"/>
        </w:rPr>
      </w:pPr>
      <w:r>
        <w:rPr>
          <w:rFonts w:hint="eastAsia"/>
        </w:rPr>
      </w:r>
      <w:r/>
    </w:p>
    <w:p>
      <w:pPr>
        <w:pStyle w:val="1070"/>
        <w:rPr>
          <w:rFonts w:hint="eastAsia"/>
        </w:rPr>
      </w:pPr>
      <w:r>
        <w:rPr>
          <w:rFonts w:hint="eastAsia"/>
        </w:rPr>
      </w:r>
      <w:r/>
    </w:p>
    <w:p>
      <w:pPr>
        <w:pStyle w:val="1072"/>
        <w:rPr>
          <w:rFonts w:hint="eastAsia"/>
        </w:rPr>
      </w:pPr>
      <w:r>
        <w:rPr>
          <w:rFonts w:hint="eastAsia"/>
        </w:rPr>
      </w:r>
      <w:r/>
    </w:p>
    <w:p>
      <w:pPr>
        <w:pStyle w:val="1070"/>
        <w:rPr>
          <w:rFonts w:hint="eastAsia"/>
        </w:rPr>
      </w:pPr>
      <w:r>
        <w:rPr>
          <w:rFonts w:hint="eastAsia"/>
        </w:rPr>
      </w:r>
      <w:r/>
    </w:p>
    <w:p>
      <w:pPr>
        <w:pStyle w:val="1072"/>
        <w:rPr>
          <w:rFonts w:hint="eastAsia"/>
        </w:rPr>
      </w:pPr>
      <w:r>
        <w:rPr>
          <w:rFonts w:hint="eastAsia"/>
        </w:rPr>
      </w:r>
      <w:r/>
    </w:p>
    <w:p>
      <w:pPr>
        <w:pStyle w:val="1070"/>
        <w:rPr>
          <w:rFonts w:hint="eastAsia"/>
        </w:rPr>
      </w:pPr>
      <w:r>
        <w:rPr>
          <w:rFonts w:hint="eastAsia"/>
        </w:rPr>
      </w:r>
      <w:r/>
    </w:p>
    <w:p>
      <w:pPr>
        <w:pStyle w:val="1072"/>
        <w:rPr>
          <w:rFonts w:hint="eastAsia"/>
        </w:rPr>
      </w:pPr>
      <w:r>
        <w:rPr>
          <w:rFonts w:hint="eastAsia"/>
        </w:rPr>
      </w:r>
      <w:r/>
    </w:p>
    <w:p>
      <w:pPr>
        <w:pStyle w:val="1070"/>
        <w:rPr>
          <w:rFonts w:hint="eastAsia"/>
        </w:rPr>
      </w:pPr>
      <w:r>
        <w:rPr>
          <w:rFonts w:hint="eastAsia"/>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rPr>
          <w:color w:val="000000"/>
          <w:sz w:val="24"/>
          <w:szCs w:val="20"/>
        </w:rPr>
      </w:pPr>
      <w:r>
        <w:rPr>
          <w:rFonts w:hint="eastAsia"/>
          <w:color w:val="000000"/>
          <w:sz w:val="24"/>
          <w:szCs w:val="20"/>
        </w:rPr>
        <w:t xml:space="preserve">12  参加本项目人员一览表</w:t>
      </w:r>
      <w:r>
        <w:rPr>
          <w:color w:val="000000"/>
          <w:sz w:val="24"/>
          <w:szCs w:val="20"/>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0"/>
        <w:spacing w:line="360" w:lineRule="auto"/>
        <w:rPr>
          <w:rFonts w:ascii="宋体" w:hAnsi="宋体"/>
          <w:sz w:val="22"/>
        </w:rPr>
      </w:pPr>
      <w:r>
        <w:rPr>
          <w:rFonts w:ascii="宋体" w:hAnsi="宋体"/>
          <w:sz w:val="22"/>
        </w:rPr>
      </w:r>
      <w:r/>
    </w:p>
    <w:p>
      <w:pPr>
        <w:pStyle w:val="107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84"/>
        <w:gridCol w:w="706"/>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1184"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706"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0"/>
        <w:tabs>
          <w:tab w:val="left" w:pos="9765" w:leader="none"/>
        </w:tabs>
        <w:rPr>
          <w:rFonts w:ascii="宋体" w:hAnsi="宋体" w:cs="宋体"/>
          <w:b/>
          <w:sz w:val="24"/>
          <w:lang w:val="zh-CN"/>
        </w:rPr>
      </w:pPr>
      <w:r>
        <w:rPr>
          <w:rFonts w:ascii="宋体" w:hAnsi="宋体" w:cs="宋体"/>
          <w:b/>
          <w:sz w:val="24"/>
          <w:lang w:val="zh-CN"/>
        </w:rPr>
      </w:r>
      <w:r/>
    </w:p>
    <w:p>
      <w:pPr>
        <w:pStyle w:val="107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t xml:space="preserve">作为评分项的请依据评分细则要求提供</w:t>
      </w:r>
      <w:r>
        <w:rPr>
          <w:rFonts w:hint="eastAsia" w:ascii="宋体" w:hAnsi="宋体" w:cs="宋体"/>
          <w:b/>
          <w:sz w:val="24"/>
          <w:lang w:val="zh-CN"/>
        </w:rPr>
        <w:t xml:space="preserve">）。</w:t>
      </w:r>
      <w:r>
        <w:rPr>
          <w:rFonts w:ascii="宋体" w:hAnsi="宋体" w:cs="宋体"/>
          <w:b/>
          <w:sz w:val="24"/>
        </w:rPr>
      </w:r>
      <w:r/>
    </w:p>
    <w:p>
      <w:pPr>
        <w:pStyle w:val="1070"/>
        <w:spacing w:line="360" w:lineRule="auto"/>
        <w:rPr>
          <w:rFonts w:ascii="宋体" w:hAnsi="宋体"/>
          <w:sz w:val="24"/>
        </w:rPr>
      </w:pPr>
      <w:r>
        <w:rPr>
          <w:rFonts w:ascii="宋体" w:hAnsi="宋体"/>
          <w:sz w:val="24"/>
        </w:rPr>
      </w:r>
      <w:r/>
    </w:p>
    <w:p>
      <w:pPr>
        <w:pStyle w:val="107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7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70"/>
        <w:rPr>
          <w:color w:val="000000"/>
          <w:sz w:val="24"/>
          <w:szCs w:val="20"/>
        </w:rPr>
      </w:pPr>
      <w:r>
        <w:rPr>
          <w:sz w:val="22"/>
        </w:rPr>
        <w:br w:type="page" w:clear="all"/>
      </w:r>
      <w:bookmarkStart w:id="610" w:name="_Toc288738397"/>
      <w:r/>
      <w:bookmarkStart w:id="611" w:name="_Toc288738839"/>
      <w:r>
        <w:rPr>
          <w:rFonts w:hint="eastAsia"/>
          <w:color w:val="000000"/>
          <w:sz w:val="24"/>
          <w:szCs w:val="20"/>
        </w:rPr>
        <w:t xml:space="preserve">13 相关业绩案例一览表</w:t>
      </w:r>
      <w:r>
        <w:rPr>
          <w:color w:val="000000"/>
          <w:sz w:val="24"/>
          <w:szCs w:val="20"/>
        </w:rPr>
      </w:r>
      <w:r/>
    </w:p>
    <w:p>
      <w:pPr>
        <w:pStyle w:val="1070"/>
        <w:rPr>
          <w:color w:val="000000"/>
          <w:sz w:val="24"/>
          <w:szCs w:val="20"/>
        </w:rPr>
      </w:pPr>
      <w:r>
        <w:rPr>
          <w:color w:val="000000"/>
          <w:sz w:val="24"/>
          <w:szCs w:val="20"/>
        </w:rPr>
      </w:r>
      <w:r/>
    </w:p>
    <w:p>
      <w:pPr>
        <w:pStyle w:val="1070"/>
        <w:jc w:val="center"/>
        <w:rPr>
          <w:rFonts w:ascii="宋体" w:hAnsi="宋体"/>
          <w:b/>
          <w:sz w:val="32"/>
          <w:szCs w:val="32"/>
        </w:rPr>
      </w:pPr>
      <w:r>
        <w:rPr>
          <w:rFonts w:hint="eastAsia" w:ascii="宋体" w:hAnsi="宋体"/>
          <w:b/>
          <w:sz w:val="32"/>
          <w:szCs w:val="32"/>
        </w:rPr>
        <w:t xml:space="preserve">相关业绩案例一览表</w:t>
      </w:r>
      <w:bookmarkEnd w:id="610"/>
      <w:r/>
      <w:bookmarkEnd w:id="611"/>
      <w:r>
        <w:rPr>
          <w:rFonts w:ascii="宋体" w:hAnsi="宋体"/>
          <w:b/>
          <w:sz w:val="32"/>
          <w:szCs w:val="32"/>
        </w:rPr>
      </w:r>
      <w:r/>
    </w:p>
    <w:p>
      <w:pPr>
        <w:pStyle w:val="1070"/>
        <w:jc w:val="center"/>
        <w:spacing w:line="360" w:lineRule="auto"/>
        <w:rPr>
          <w:rFonts w:ascii="宋体" w:hAnsi="宋体"/>
          <w:b/>
          <w:sz w:val="28"/>
          <w:szCs w:val="30"/>
        </w:rPr>
      </w:pPr>
      <w:r>
        <w:rPr>
          <w:rFonts w:ascii="宋体" w:hAnsi="宋体"/>
          <w:b/>
          <w:sz w:val="28"/>
          <w:szCs w:val="30"/>
        </w:rPr>
      </w:r>
      <w:r/>
    </w:p>
    <w:p>
      <w:pPr>
        <w:pStyle w:val="107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bl>
    <w:p>
      <w:pPr>
        <w:pStyle w:val="1070"/>
        <w:tabs>
          <w:tab w:val="left" w:pos="9765" w:leader="none"/>
        </w:tabs>
        <w:rPr>
          <w:rFonts w:ascii="宋体" w:hAnsi="宋体" w:cs="宋体"/>
          <w:sz w:val="24"/>
          <w:lang w:val="zh-CN"/>
        </w:rPr>
      </w:pPr>
      <w:r>
        <w:rPr>
          <w:rFonts w:ascii="宋体" w:hAnsi="宋体" w:cs="宋体"/>
          <w:sz w:val="24"/>
          <w:lang w:val="zh-CN"/>
        </w:rPr>
      </w:r>
      <w:r/>
    </w:p>
    <w:p>
      <w:pPr>
        <w:pStyle w:val="1070"/>
        <w:spacing w:line="360" w:lineRule="auto"/>
        <w:rPr>
          <w:rFonts w:ascii="宋体" w:hAnsi="宋体" w:cs="宋体"/>
          <w:sz w:val="24"/>
        </w:rPr>
      </w:pPr>
      <w:r>
        <w:rPr>
          <w:rFonts w:hint="eastAsia" w:ascii="宋体" w:hAnsi="宋体" w:cs="宋体"/>
          <w:b/>
          <w:bCs/>
          <w:sz w:val="24"/>
        </w:rPr>
        <w:t xml:space="preserve">注：附相关证明材料（如中标通知书、合同等，作为评分项的请依据评分细则要求提供）</w:t>
      </w:r>
      <w:r>
        <w:rPr>
          <w:rFonts w:ascii="宋体" w:hAnsi="宋体" w:cs="宋体"/>
          <w:sz w:val="24"/>
        </w:rPr>
      </w:r>
      <w:r/>
    </w:p>
    <w:p>
      <w:pPr>
        <w:pStyle w:val="107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7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rFonts w:hint="eastAsia"/>
          <w:color w:val="000000"/>
          <w:sz w:val="24"/>
          <w:szCs w:val="20"/>
        </w:rPr>
        <w:outlineLvl w:val="2"/>
      </w:pPr>
      <w:r>
        <w:rPr>
          <w:rFonts w:hint="eastAsia"/>
          <w:color w:val="000000"/>
          <w:sz w:val="24"/>
          <w:szCs w:val="20"/>
        </w:rPr>
      </w:r>
      <w:r/>
    </w:p>
    <w:p>
      <w:pPr>
        <w:pStyle w:val="1070"/>
        <w:spacing w:line="360" w:lineRule="auto"/>
        <w:rPr>
          <w:color w:val="000000"/>
          <w:sz w:val="24"/>
          <w:szCs w:val="20"/>
        </w:rPr>
        <w:outlineLvl w:val="2"/>
      </w:pPr>
      <w:r>
        <w:rPr>
          <w:color w:val="000000"/>
          <w:sz w:val="24"/>
          <w:szCs w:val="20"/>
        </w:rPr>
      </w:r>
      <w:r/>
    </w:p>
    <w:p>
      <w:pPr>
        <w:pStyle w:val="1070"/>
        <w:spacing w:line="360" w:lineRule="auto"/>
        <w:rPr>
          <w:rFonts w:hint="eastAsia" w:ascii="宋体" w:hAnsi="宋体" w:eastAsia="宋体" w:cs="Times New Roman"/>
          <w:color w:val="000000"/>
          <w:sz w:val="24"/>
          <w:highlight w:val="white"/>
        </w:rPr>
      </w:pPr>
      <w:r>
        <w:rPr>
          <w:color w:val="000000"/>
          <w:sz w:val="24"/>
          <w:szCs w:val="20"/>
        </w:rPr>
        <w:br w:type="page" w:clear="all"/>
      </w:r>
      <w:r>
        <w:rPr>
          <w:color w:val="000000"/>
          <w:sz w:val="24"/>
          <w:szCs w:val="20"/>
        </w:rPr>
        <w:t xml:space="preserve">1</w:t>
      </w:r>
      <w:r>
        <w:rPr>
          <w:rFonts w:hint="eastAsia"/>
          <w:color w:val="000000"/>
          <w:sz w:val="24"/>
          <w:szCs w:val="20"/>
        </w:rPr>
        <w:t xml:space="preserve">4</w:t>
      </w:r>
      <w:r>
        <w:rPr>
          <w:color w:val="000000"/>
          <w:sz w:val="24"/>
          <w:szCs w:val="20"/>
        </w:rPr>
        <w:t xml:space="preserve"> </w:t>
      </w:r>
      <w:r>
        <w:rPr>
          <w:rFonts w:hint="eastAsia" w:ascii="宋体" w:hAnsi="宋体" w:eastAsia="宋体" w:cs="Times New Roman"/>
          <w:color w:val="000000"/>
          <w:sz w:val="24"/>
          <w:highlight w:val="white"/>
        </w:rPr>
        <w:t xml:space="preserve">投标承诺书（实质性格式）</w:t>
      </w:r>
      <w:r>
        <w:rPr>
          <w:rFonts w:hint="eastAsia" w:ascii="宋体" w:hAnsi="宋体" w:eastAsia="宋体" w:cs="Times New Roman"/>
          <w:color w:val="000000"/>
          <w:sz w:val="24"/>
          <w:highlight w:val="white"/>
        </w:rPr>
      </w:r>
      <w:r/>
    </w:p>
    <w:p>
      <w:pPr>
        <w:pStyle w:val="1070"/>
        <w:jc w:val="center"/>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投 标 承 诺 书</w:t>
      </w:r>
      <w:r>
        <w:rPr>
          <w:rFonts w:hint="eastAsia" w:ascii="宋体" w:hAnsi="宋体" w:eastAsia="宋体" w:cs="Times New Roman"/>
          <w:color w:val="000000"/>
          <w:sz w:val="24"/>
          <w:highlight w:val="white"/>
        </w:rPr>
      </w:r>
      <w:r/>
    </w:p>
    <w:p>
      <w:pPr>
        <w:pStyle w:val="1070"/>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r>
      <w:r/>
    </w:p>
    <w:p>
      <w:pPr>
        <w:pStyle w:val="1070"/>
        <w:spacing w:line="360" w:lineRule="auto"/>
        <w:rPr>
          <w:rFonts w:hint="eastAsia" w:ascii="宋体" w:hAnsi="宋体" w:eastAsia="宋体" w:cs="Times New Roman"/>
          <w:color w:val="000000"/>
          <w:sz w:val="24"/>
          <w:highlight w:val="white"/>
          <w:u w:val="single"/>
        </w:rPr>
      </w:pPr>
      <w:r>
        <w:rPr>
          <w:rFonts w:hint="eastAsia" w:ascii="宋体" w:hAnsi="宋体" w:eastAsia="宋体" w:cs="Times New Roman"/>
          <w:color w:val="000000"/>
          <w:sz w:val="24"/>
          <w:highlight w:val="white"/>
          <w:u w:val="single"/>
        </w:rPr>
        <w:t xml:space="preserve">（采购人）：</w:t>
      </w:r>
      <w:r>
        <w:rPr>
          <w:rFonts w:hint="eastAsia" w:ascii="宋体" w:hAnsi="宋体" w:eastAsia="宋体" w:cs="Times New Roman"/>
          <w:color w:val="000000"/>
          <w:sz w:val="24"/>
          <w:highlight w:val="white"/>
          <w:u w:val="single"/>
        </w:rPr>
      </w:r>
      <w:r/>
    </w:p>
    <w:p>
      <w:pPr>
        <w:pStyle w:val="1070"/>
        <w:ind w:firstLine="480"/>
        <w:spacing w:line="360" w:lineRule="auto"/>
        <w:rPr>
          <w:rFonts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我们参加贵单位组织的</w:t>
      </w:r>
      <w:r>
        <w:rPr>
          <w:rFonts w:hint="eastAsia" w:ascii="宋体" w:hAnsi="宋体" w:eastAsia="宋体" w:cs="Times New Roman"/>
          <w:color w:val="000000"/>
          <w:sz w:val="24"/>
          <w:highlight w:val="white"/>
          <w:u w:val="single"/>
        </w:rPr>
        <w:t xml:space="preserve">                 （项目名称）</w:t>
      </w:r>
      <w:r>
        <w:rPr>
          <w:rFonts w:hint="eastAsia" w:ascii="宋体" w:hAnsi="宋体" w:eastAsia="宋体" w:cs="Times New Roman"/>
          <w:color w:val="000000"/>
          <w:sz w:val="24"/>
          <w:highlight w:val="white"/>
        </w:rPr>
        <w:t xml:space="preserve"> 投标，我单位承诺：一旦我单位中标，</w:t>
      </w:r>
      <w:r>
        <w:rPr>
          <w:rFonts w:ascii="宋体" w:hAnsi="宋体" w:eastAsia="宋体" w:cs="Times New Roman"/>
          <w:color w:val="000000"/>
          <w:sz w:val="24"/>
          <w:highlight w:val="white"/>
        </w:rPr>
      </w:r>
      <w:r/>
    </w:p>
    <w:p>
      <w:pPr>
        <w:pStyle w:val="1070"/>
        <w:ind w:firstLine="480"/>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rPr>
        <w:t xml:space="preserve">）一旦中标，中标供应商必须按要求派驻人员及车辆，且不得低于最低配置要求，否则按无效投标文件处理。</w:t>
      </w:r>
      <w:r>
        <w:rPr>
          <w:rFonts w:hint="eastAsia" w:ascii="宋体" w:hAnsi="宋体" w:eastAsia="宋体" w:cs="Times New Roman"/>
          <w:b/>
          <w:bCs/>
          <w:color w:val="000000"/>
          <w:sz w:val="24"/>
          <w:highlight w:val="none"/>
        </w:rPr>
      </w:r>
      <w:r/>
    </w:p>
    <w:p>
      <w:pPr>
        <w:pStyle w:val="1070"/>
        <w:ind w:firstLine="480"/>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rPr>
        <w:t xml:space="preserve">）作业人员工资不得低于最新的溧阳市最低工资标准，否则按无效投标文件处理。</w:t>
      </w:r>
      <w:r>
        <w:rPr>
          <w:rFonts w:hint="eastAsia" w:ascii="宋体" w:hAnsi="宋体" w:eastAsia="宋体" w:cs="Times New Roman"/>
          <w:b/>
          <w:bCs/>
          <w:color w:val="000000"/>
          <w:sz w:val="24"/>
          <w:highlight w:val="none"/>
        </w:rPr>
      </w:r>
      <w:r/>
    </w:p>
    <w:p>
      <w:pPr>
        <w:pStyle w:val="1070"/>
        <w:ind w:firstLine="480"/>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rPr>
        <w:t xml:space="preserve">）高温费为最新的溧阳地区发放标准，作业服务期内高温费如遇上级政策调整，中标供应商须按新文件执行，否则按无效投标文件处理。</w:t>
      </w:r>
      <w:r>
        <w:rPr>
          <w:rFonts w:hint="eastAsia" w:ascii="宋体" w:hAnsi="宋体" w:eastAsia="宋体" w:cs="Times New Roman"/>
          <w:b/>
          <w:bCs/>
          <w:color w:val="000000"/>
          <w:sz w:val="24"/>
          <w:highlight w:val="none"/>
        </w:rPr>
      </w:r>
      <w:r/>
    </w:p>
    <w:p>
      <w:pPr>
        <w:pStyle w:val="1070"/>
        <w:ind w:firstLine="480"/>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rPr>
        <w:t xml:space="preserve">）驾驶员及项目负责人年龄均不得高于60周岁（含），其他作业人员年龄不得高于65周岁（含）。项目负责人可以兼任。</w:t>
      </w:r>
      <w:r>
        <w:rPr>
          <w:rFonts w:hint="eastAsia" w:ascii="宋体" w:hAnsi="宋体" w:eastAsia="宋体" w:cs="Times New Roman"/>
          <w:b/>
          <w:bCs/>
          <w:color w:val="000000"/>
          <w:sz w:val="24"/>
          <w:highlight w:val="none"/>
        </w:rPr>
      </w:r>
      <w:r/>
    </w:p>
    <w:p>
      <w:pPr>
        <w:pStyle w:val="1070"/>
        <w:ind w:firstLine="480"/>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val="en-US" w:eastAsia="zh-CN"/>
        </w:rPr>
        <w:t xml:space="preserve">5</w:t>
      </w:r>
      <w:r>
        <w:rPr>
          <w:rFonts w:hint="eastAsia" w:ascii="宋体" w:hAnsi="宋体" w:eastAsia="宋体" w:cs="Times New Roman"/>
          <w:b/>
          <w:bCs/>
          <w:color w:val="000000"/>
          <w:sz w:val="24"/>
          <w:highlight w:val="none"/>
        </w:rPr>
        <w:t xml:space="preserve">）报价时，投标单位须充分考虑人员加班费、意外保险、社保、相关补贴、车辆油费、维修保养等费用，并在投标报价中列明，否则按无效投标文件处理。</w:t>
      </w:r>
      <w:r>
        <w:rPr>
          <w:rFonts w:hint="eastAsia" w:ascii="宋体" w:hAnsi="宋体" w:eastAsia="宋体" w:cs="Times New Roman"/>
          <w:b/>
          <w:bCs/>
          <w:color w:val="000000"/>
          <w:sz w:val="24"/>
          <w:highlight w:val="none"/>
        </w:rPr>
      </w:r>
      <w:r/>
    </w:p>
    <w:p>
      <w:pPr>
        <w:pStyle w:val="1070"/>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val="en-US" w:eastAsia="zh-CN"/>
        </w:rPr>
        <w:t xml:space="preserve">6</w:t>
      </w:r>
      <w:r>
        <w:rPr>
          <w:rFonts w:hint="eastAsia" w:ascii="宋体" w:hAnsi="宋体" w:eastAsia="宋体" w:cs="Times New Roman"/>
          <w:b/>
          <w:bCs/>
          <w:color w:val="000000"/>
          <w:sz w:val="24"/>
          <w:highlight w:val="none"/>
        </w:rPr>
        <w:t xml:space="preserve">）除采购人要求外，投标报价不作调整。因政策所涉及到的最低工资标准、社保、加班工资、高温补贴的调整由中标供应商作为主要风险因素进行考量，所有费用均由中标供应商承担。</w:t>
      </w:r>
      <w:r>
        <w:rPr>
          <w:rFonts w:hint="eastAsia" w:ascii="宋体" w:hAnsi="宋体" w:eastAsia="宋体" w:cs="Times New Roman"/>
          <w:color w:val="000000"/>
          <w:sz w:val="24"/>
          <w:highlight w:val="none"/>
        </w:rPr>
      </w:r>
      <w:r/>
    </w:p>
    <w:p>
      <w:pPr>
        <w:pStyle w:val="1070"/>
        <w:ind w:firstLine="480"/>
        <w:spacing w:line="360" w:lineRule="auto"/>
        <w:rPr>
          <w:rFonts w:ascii="宋体" w:hAnsi="宋体" w:eastAsia="宋体" w:cs="Times New Roman"/>
          <w:b/>
          <w:bCs/>
          <w:color w:val="000000"/>
          <w:sz w:val="24"/>
          <w:highlight w:val="white"/>
        </w:rPr>
      </w:pPr>
      <w:r>
        <w:rPr>
          <w:rFonts w:ascii="宋体" w:hAnsi="宋体" w:eastAsia="宋体" w:cs="Times New Roman"/>
          <w:b/>
          <w:bCs/>
          <w:color w:val="000000"/>
          <w:sz w:val="24"/>
          <w:highlight w:val="white"/>
        </w:rPr>
      </w:r>
      <w:r/>
    </w:p>
    <w:p>
      <w:pPr>
        <w:pStyle w:val="1070"/>
        <w:ind w:firstLine="480"/>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如违反上述承诺，我单位自愿承担违约责任，采购人有权拒绝支付费用，并有权进行经济处罚，直至解除合同。</w:t>
      </w:r>
      <w:r>
        <w:rPr>
          <w:rFonts w:hint="eastAsia" w:ascii="宋体" w:hAnsi="宋体" w:eastAsia="宋体" w:cs="Times New Roman"/>
          <w:color w:val="000000"/>
          <w:sz w:val="24"/>
          <w:highlight w:val="white"/>
        </w:rPr>
      </w:r>
      <w:r/>
    </w:p>
    <w:p>
      <w:pPr>
        <w:pStyle w:val="1070"/>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r>
      <w:r/>
    </w:p>
    <w:p>
      <w:pPr>
        <w:pStyle w:val="1070"/>
        <w:spacing w:line="360" w:lineRule="auto"/>
        <w:rPr>
          <w:rFonts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                          </w:t>
      </w:r>
      <w:r>
        <w:rPr>
          <w:rFonts w:ascii="宋体" w:hAnsi="宋体" w:eastAsia="宋体" w:cs="Times New Roman"/>
          <w:color w:val="000000"/>
          <w:sz w:val="24"/>
          <w:highlight w:val="white"/>
        </w:rPr>
        <w:t xml:space="preserve">投标供应商名称（加盖公章）：____________</w:t>
      </w:r>
      <w:r>
        <w:rPr>
          <w:rFonts w:ascii="宋体" w:hAnsi="宋体" w:eastAsia="宋体" w:cs="Times New Roman"/>
          <w:color w:val="000000"/>
          <w:sz w:val="24"/>
          <w:highlight w:val="white"/>
        </w:rPr>
      </w:r>
      <w:r/>
    </w:p>
    <w:p>
      <w:pPr>
        <w:pStyle w:val="1070"/>
        <w:spacing w:line="360" w:lineRule="auto"/>
        <w:rPr>
          <w:rFonts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                          法定代表人（签字或签章）：</w:t>
      </w:r>
      <w:r>
        <w:rPr>
          <w:rFonts w:ascii="宋体" w:hAnsi="宋体" w:eastAsia="宋体" w:cs="Times New Roman"/>
          <w:color w:val="000000"/>
          <w:sz w:val="24"/>
          <w:highlight w:val="white"/>
        </w:rPr>
        <w:t xml:space="preserve">____________</w:t>
      </w:r>
      <w:r>
        <w:rPr>
          <w:rFonts w:ascii="宋体" w:hAnsi="宋体" w:eastAsia="宋体" w:cs="Times New Roman"/>
          <w:color w:val="000000"/>
          <w:sz w:val="24"/>
          <w:highlight w:val="white"/>
        </w:rPr>
      </w:r>
      <w:r/>
    </w:p>
    <w:p>
      <w:pPr>
        <w:pStyle w:val="1070"/>
        <w:ind w:firstLine="3120"/>
        <w:spacing w:line="360" w:lineRule="auto"/>
        <w:rPr>
          <w:rFonts w:ascii="宋体" w:hAnsi="宋体" w:eastAsia="宋体" w:cs="Times New Roman"/>
          <w:color w:val="000000"/>
          <w:sz w:val="24"/>
          <w:highlight w:val="white"/>
        </w:rPr>
      </w:pPr>
      <w:r>
        <w:rPr>
          <w:rFonts w:ascii="宋体" w:hAnsi="宋体" w:eastAsia="宋体" w:cs="Times New Roman"/>
          <w:color w:val="000000"/>
          <w:sz w:val="24"/>
          <w:highlight w:val="white"/>
        </w:rPr>
        <w:t xml:space="preserve">日期：_____年______月______日   </w:t>
      </w:r>
      <w:r>
        <w:rPr>
          <w:rFonts w:ascii="宋体" w:hAnsi="宋体" w:eastAsia="宋体" w:cs="Times New Roman"/>
          <w:color w:val="000000"/>
          <w:sz w:val="24"/>
          <w:highlight w:val="white"/>
        </w:rPr>
      </w:r>
      <w:r/>
    </w:p>
    <w:p>
      <w:pPr>
        <w:pStyle w:val="1070"/>
        <w:spacing w:line="360" w:lineRule="auto"/>
        <w:rPr>
          <w:color w:val="000000"/>
          <w:sz w:val="24"/>
          <w:szCs w:val="20"/>
        </w:rPr>
        <w:outlineLvl w:val="2"/>
      </w:pPr>
      <w:r>
        <w:rPr>
          <w:color w:val="000000"/>
          <w:sz w:val="24"/>
          <w:szCs w:val="20"/>
        </w:rPr>
      </w:r>
      <w:r/>
    </w:p>
    <w:p>
      <w:pPr>
        <w:pStyle w:val="1070"/>
        <w:spacing w:line="360" w:lineRule="auto"/>
        <w:rPr>
          <w:color w:val="000000"/>
          <w:sz w:val="24"/>
          <w:szCs w:val="20"/>
        </w:rPr>
        <w:outlineLvl w:val="2"/>
      </w:pPr>
      <w:r>
        <w:rPr>
          <w:color w:val="000000"/>
          <w:sz w:val="24"/>
          <w:szCs w:val="20"/>
        </w:rPr>
      </w:r>
      <w:r/>
    </w:p>
    <w:p>
      <w:pPr>
        <w:pStyle w:val="1070"/>
        <w:spacing w:line="360" w:lineRule="auto"/>
        <w:rPr>
          <w:color w:val="000000"/>
          <w:sz w:val="24"/>
          <w:szCs w:val="20"/>
        </w:rPr>
        <w:outlineLvl w:val="2"/>
      </w:pPr>
      <w:r>
        <w:rPr>
          <w:color w:val="000000"/>
          <w:sz w:val="24"/>
          <w:szCs w:val="20"/>
        </w:rPr>
      </w:r>
      <w:r/>
    </w:p>
    <w:p>
      <w:pPr>
        <w:pStyle w:val="1070"/>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70"/>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70"/>
        <w:spacing w:line="360" w:lineRule="auto"/>
        <w:rPr>
          <w:sz w:val="24"/>
        </w:rPr>
        <w:outlineLvl w:val="2"/>
      </w:pPr>
      <w:r>
        <w:rPr>
          <w:rFonts w:hint="eastAsia"/>
          <w:color w:val="000000"/>
          <w:sz w:val="24"/>
          <w:szCs w:val="20"/>
          <w:lang w:val="en-US" w:eastAsia="zh-CN"/>
        </w:rPr>
        <w:t xml:space="preserve">15</w:t>
      </w:r>
      <w:r>
        <w:rPr>
          <w:color w:val="000000"/>
          <w:sz w:val="24"/>
          <w:szCs w:val="20"/>
        </w:rPr>
        <w:t xml:space="preserve"> 磋商文件要求提供或供应商认为应附的其他材料</w:t>
      </w:r>
      <w:r>
        <w:rPr>
          <w:sz w:val="24"/>
        </w:rPr>
      </w:r>
      <w:r/>
    </w:p>
    <w:p>
      <w:pPr>
        <w:pStyle w:val="1070"/>
        <w:jc w:val="center"/>
        <w:rPr>
          <w:rFonts w:ascii="宋体" w:hAnsi="宋体" w:eastAsia="宋体" w:cs="宋体"/>
          <w:b/>
          <w:bCs/>
          <w:sz w:val="24"/>
          <w:szCs w:val="24"/>
          <w:lang w:val="en-US" w:eastAsia="zh-CN" w:bidi="ar-SA"/>
        </w:rPr>
      </w:pPr>
      <w:r>
        <w:rPr>
          <w:rFonts w:ascii="Times New Roman" w:hAnsi="Times New Roman" w:eastAsia="宋体" w:cs="Times New Roman"/>
          <w:b/>
          <w:bCs/>
          <w:color w:val="000000"/>
          <w:sz w:val="28"/>
          <w:szCs w:val="28"/>
          <w:lang w:val="en-US" w:eastAsia="zh-CN" w:bidi="ar-SA"/>
        </w:rPr>
        <w:t xml:space="preserve">符合性审查承诺书</w:t>
      </w:r>
      <w:r>
        <w:rPr>
          <w:rFonts w:ascii="宋体" w:hAnsi="宋体" w:eastAsia="宋体" w:cs="宋体"/>
          <w:b/>
          <w:bCs/>
          <w:sz w:val="24"/>
          <w:szCs w:val="24"/>
          <w:lang w:val="en-US" w:eastAsia="zh-CN" w:bidi="ar-SA"/>
        </w:rPr>
      </w:r>
      <w:r/>
    </w:p>
    <w:p>
      <w:pPr>
        <w:pStyle w:val="1070"/>
        <w:jc w:val="left"/>
        <w:keepLines w:val="0"/>
        <w:keepNext w:val="0"/>
        <w:pageBreakBefore w:val="0"/>
        <w:spacing w:before="0" w:beforeAutospacing="0" w:after="0" w:afterAutospacing="0" w:line="460" w:lineRule="exact"/>
        <w:widowControl/>
        <w:rPr>
          <w:rFonts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lang w:val="en-US" w:eastAsia="zh-CN" w:bidi="ar-SA"/>
        </w:rPr>
        <w:t xml:space="preserve">江苏苏南项目管理有限公司</w:t>
      </w:r>
      <w:r>
        <w:rPr>
          <w:rFonts w:hint="eastAsia" w:ascii="Times New Roman" w:hAnsi="Times New Roman" w:eastAsia="宋体" w:cs="Times New Roman"/>
          <w:color w:val="000000"/>
          <w:sz w:val="24"/>
          <w:szCs w:val="24"/>
          <w:lang w:val="en-US" w:eastAsia="zh-CN" w:bidi="ar-SA"/>
        </w:rPr>
        <w:t xml:space="preserve">：</w:t>
      </w:r>
      <w:r>
        <w:rPr>
          <w:rFonts w:ascii="宋体" w:hAnsi="宋体" w:eastAsia="宋体" w:cs="宋体"/>
          <w:sz w:val="24"/>
          <w:szCs w:val="24"/>
          <w:lang w:val="en-US" w:eastAsia="zh-CN" w:bidi="ar-SA"/>
        </w:rPr>
      </w:r>
      <w:r/>
    </w:p>
    <w:p>
      <w:pPr>
        <w:pStyle w:val="1070"/>
        <w:jc w:val="left"/>
        <w:keepLines w:val="0"/>
        <w:keepNext w:val="0"/>
        <w:pageBreakBefore w:val="0"/>
        <w:spacing w:before="0" w:beforeAutospacing="0" w:after="0" w:afterAutospacing="0" w:line="460" w:lineRule="exact"/>
        <w:widowControl/>
        <w:rPr>
          <w:rFonts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u w:val="single"/>
          <w:lang w:val="en-US" w:eastAsia="zh-CN" w:bidi="ar-SA"/>
        </w:rPr>
        <w:t xml:space="preserve">（采购人）</w:t>
      </w:r>
      <w:r>
        <w:rPr>
          <w:rFonts w:ascii="宋体" w:hAnsi="宋体" w:eastAsia="宋体" w:cs="宋体"/>
          <w:sz w:val="24"/>
          <w:szCs w:val="24"/>
          <w:lang w:val="en-US" w:eastAsia="zh-CN" w:bidi="ar-SA"/>
        </w:rPr>
      </w:r>
      <w:r/>
    </w:p>
    <w:p>
      <w:pPr>
        <w:pStyle w:val="1070"/>
        <w:jc w:val="left"/>
        <w:keepLines w:val="0"/>
        <w:keepNext w:val="0"/>
        <w:pageBreakBefore w:val="0"/>
        <w:spacing w:before="0" w:beforeAutospacing="0" w:after="0" w:afterAutospacing="0" w:line="400" w:lineRule="exact"/>
        <w:widowControl/>
        <w:rPr>
          <w:rFonts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lang w:val="en-US" w:eastAsia="zh-CN" w:bidi="ar-SA"/>
        </w:rPr>
        <w:t xml:space="preserve"> </w:t>
      </w:r>
      <w:r>
        <w:rPr>
          <w:rFonts w:hint="eastAsia" w:ascii="Times New Roman" w:hAnsi="Times New Roman" w:eastAsia="宋体" w:cs="Times New Roman"/>
          <w:color w:val="000000"/>
          <w:sz w:val="24"/>
          <w:szCs w:val="24"/>
          <w:lang w:val="en-US" w:eastAsia="zh-CN" w:bidi="ar-SA"/>
        </w:rPr>
        <w:t xml:space="preserve">   </w:t>
      </w:r>
      <w:r>
        <w:rPr>
          <w:rFonts w:ascii="Times New Roman" w:hAnsi="Times New Roman" w:eastAsia="宋体" w:cs="Times New Roman"/>
          <w:color w:val="000000"/>
          <w:sz w:val="24"/>
          <w:szCs w:val="24"/>
          <w:lang w:val="en-US" w:eastAsia="zh-CN" w:bidi="ar-SA"/>
        </w:rPr>
        <w:t xml:space="preserve">我单位承诺，我单位提供的投标文件完全符合招标文件中符合性审查的相关要求，特此承诺，若在招投标阶段任一环节中查出我单位不符合相关规定，我单位自愿接受作无效响应的处理。</w:t>
      </w:r>
      <w:r>
        <w:rPr>
          <w:rFonts w:ascii="宋体" w:hAnsi="宋体" w:eastAsia="宋体" w:cs="宋体"/>
          <w:sz w:val="24"/>
          <w:szCs w:val="24"/>
          <w:lang w:val="en-US" w:eastAsia="zh-CN" w:bidi="ar-SA"/>
        </w:rPr>
      </w:r>
      <w:r/>
    </w:p>
    <w:tbl>
      <w:tblPr>
        <w:tblW w:w="5576" w:type="pct"/>
        <w:jc w:val="center"/>
        <w:tblInd w:w="-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2084"/>
        <w:gridCol w:w="6225"/>
        <w:gridCol w:w="1849"/>
      </w:tblGrid>
      <w:tr>
        <w:trPr>
          <w:trHeight w:val="300"/>
        </w:trPr>
        <w:tc>
          <w:tcPr>
            <w:tcW w:w="378" w:type="dxa"/>
            <w:vAlign w:val="center"/>
            <w:textDirection w:val="lrTb"/>
            <w:noWrap w:val="false"/>
          </w:tcPr>
          <w:p>
            <w:pPr>
              <w:pStyle w:val="1070"/>
              <w:jc w:val="center"/>
              <w:widowControl/>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序号</w:t>
            </w:r>
            <w:r>
              <w:rPr>
                <w:rFonts w:ascii="Times New Roman" w:hAnsi="Times New Roman" w:eastAsia="宋体" w:cs="Times New Roman"/>
                <w:b/>
                <w:color w:val="000000"/>
                <w:sz w:val="24"/>
              </w:rPr>
            </w:r>
            <w:r/>
          </w:p>
        </w:tc>
        <w:tc>
          <w:tcPr>
            <w:tcW w:w="948" w:type="dxa"/>
            <w:vAlign w:val="center"/>
            <w:textDirection w:val="lrTb"/>
            <w:noWrap w:val="false"/>
          </w:tcPr>
          <w:p>
            <w:pPr>
              <w:pStyle w:val="1070"/>
              <w:jc w:val="center"/>
              <w:widowControl/>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审查因素</w:t>
            </w:r>
            <w:r>
              <w:rPr>
                <w:rFonts w:ascii="Times New Roman" w:hAnsi="Times New Roman" w:eastAsia="宋体" w:cs="Times New Roman"/>
                <w:b/>
                <w:color w:val="000000"/>
                <w:sz w:val="24"/>
              </w:rPr>
            </w:r>
            <w:r/>
          </w:p>
        </w:tc>
        <w:tc>
          <w:tcPr>
            <w:tcW w:w="2832" w:type="dxa"/>
            <w:vAlign w:val="center"/>
            <w:textDirection w:val="lrTb"/>
            <w:noWrap w:val="false"/>
          </w:tcPr>
          <w:p>
            <w:pPr>
              <w:pStyle w:val="1070"/>
              <w:jc w:val="center"/>
              <w:widowControl/>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审查内容</w:t>
            </w:r>
            <w:r>
              <w:rPr>
                <w:rFonts w:ascii="Times New Roman" w:hAnsi="Times New Roman" w:eastAsia="宋体" w:cs="Times New Roman"/>
                <w:b/>
                <w:color w:val="000000"/>
                <w:sz w:val="24"/>
              </w:rPr>
            </w:r>
            <w:r/>
          </w:p>
        </w:tc>
        <w:tc>
          <w:tcPr>
            <w:tcW w:w="841" w:type="dxa"/>
            <w:vAlign w:val="center"/>
            <w:textDirection w:val="lrTb"/>
            <w:noWrap w:val="false"/>
          </w:tcPr>
          <w:p>
            <w:pPr>
              <w:pStyle w:val="1070"/>
              <w:jc w:val="center"/>
              <w:widowControl/>
              <w:rPr>
                <w:rFonts w:ascii="Times New Roman" w:hAnsi="Times New Roman" w:eastAsia="宋体" w:cs="Times New Roman"/>
                <w:b/>
                <w:color w:val="000000"/>
                <w:sz w:val="24"/>
                <w:lang w:val="en-US" w:eastAsia="zh-CN"/>
              </w:rPr>
            </w:pPr>
            <w:r>
              <w:rPr>
                <w:rFonts w:hint="eastAsia" w:ascii="Times New Roman" w:hAnsi="Times New Roman" w:eastAsia="宋体" w:cs="Times New Roman"/>
                <w:b/>
                <w:color w:val="000000"/>
                <w:sz w:val="24"/>
                <w:lang w:val="en-US" w:eastAsia="zh-CN"/>
              </w:rPr>
              <w:t xml:space="preserve">是否符合要求</w:t>
            </w:r>
            <w:r>
              <w:rPr>
                <w:rFonts w:ascii="Times New Roman" w:hAnsi="Times New Roman" w:eastAsia="宋体" w:cs="Times New Roman"/>
                <w:b/>
                <w:color w:val="000000"/>
                <w:sz w:val="24"/>
                <w:lang w:val="en-US" w:eastAsia="zh-CN"/>
              </w:rPr>
            </w:r>
            <w:r/>
          </w:p>
        </w:tc>
      </w:tr>
      <w:tr>
        <w:trPr>
          <w:trHeight w:val="685"/>
        </w:trPr>
        <w:tc>
          <w:tcPr>
            <w:tcW w:w="378" w:type="dxa"/>
            <w:vAlign w:val="center"/>
            <w:textDirection w:val="lrTb"/>
            <w:noWrap w:val="false"/>
          </w:tcPr>
          <w:p>
            <w:pPr>
              <w:pStyle w:val="1070"/>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r>
            <w:r/>
          </w:p>
        </w:tc>
        <w:tc>
          <w:tcPr>
            <w:tcW w:w="948" w:type="dxa"/>
            <w:vAlign w:val="center"/>
            <w:textDirection w:val="lrTb"/>
            <w:noWrap w:val="false"/>
          </w:tcPr>
          <w:p>
            <w:pPr>
              <w:pStyle w:val="1070"/>
              <w:jc w:val="left"/>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响应函、</w:t>
            </w:r>
            <w:r>
              <w:rPr>
                <w:rFonts w:hint="eastAsia" w:ascii="Times New Roman" w:hAnsi="Times New Roman" w:eastAsia="宋体" w:cs="Times New Roman"/>
                <w:color w:val="000000"/>
                <w:sz w:val="24"/>
              </w:rPr>
              <w:t xml:space="preserve">法定代表人资格证明书和政府采购供应商信用承诺书</w:t>
            </w:r>
            <w:r>
              <w:rPr>
                <w:rFonts w:ascii="Times New Roman" w:hAnsi="Times New Roman" w:eastAsia="宋体" w:cs="Times New Roman"/>
                <w:color w:val="000000"/>
                <w:sz w:val="24"/>
              </w:rPr>
            </w:r>
            <w:r/>
          </w:p>
        </w:tc>
        <w:tc>
          <w:tcPr>
            <w:tcW w:w="2832"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按磋商文件要求提供</w:t>
            </w:r>
            <w:r>
              <w:rPr>
                <w:rFonts w:hint="eastAsia" w:ascii="Times New Roman" w:hAnsi="Times New Roman" w:eastAsia="宋体" w:cs="Times New Roman"/>
                <w:color w:val="000000"/>
                <w:sz w:val="24"/>
              </w:rPr>
              <w:t xml:space="preserve">响应函、</w:t>
            </w:r>
            <w:r>
              <w:rPr>
                <w:rFonts w:hint="eastAsia" w:ascii="Times New Roman" w:hAnsi="Times New Roman" w:eastAsia="宋体" w:cs="Times New Roman"/>
                <w:color w:val="000000"/>
                <w:sz w:val="24"/>
              </w:rPr>
              <w:t xml:space="preserve">法定代表人资格证明书和政府采购供应商信用承诺书</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tc>
        <w:tc>
          <w:tcPr>
            <w:tcW w:w="841" w:type="dxa"/>
            <w:vAlign w:val="center"/>
            <w:textDirection w:val="lrTb"/>
            <w:noWrap w:val="false"/>
          </w:tcPr>
          <w:p>
            <w:pPr>
              <w:pStyle w:val="1070"/>
              <w:jc w:val="center"/>
              <w:widowControl/>
              <w:rPr>
                <w:rFonts w:ascii="Times New Roman" w:hAnsi="Times New Roman" w:eastAsia="宋体" w:cs="Times New Roman"/>
                <w:color w:val="000000"/>
                <w:sz w:val="24"/>
              </w:rPr>
            </w:pPr>
            <w:r>
              <w:rPr>
                <w:rFonts w:hint="eastAsia" w:ascii="Times New Roman" w:hAnsi="Times New Roman" w:eastAsia="宋体" w:cs="Times New Roman"/>
                <w:b/>
                <w:color w:val="000000"/>
                <w:sz w:val="24"/>
                <w:lang w:val="en-US" w:eastAsia="zh-CN"/>
              </w:rPr>
              <w:t xml:space="preserve">是</w:t>
            </w:r>
            <w:r>
              <w:rPr>
                <w:rFonts w:ascii="Times New Roman" w:hAnsi="Times New Roman" w:eastAsia="宋体" w:cs="Times New Roman"/>
                <w:color w:val="000000"/>
                <w:sz w:val="24"/>
              </w:rPr>
            </w:r>
            <w:r/>
          </w:p>
        </w:tc>
      </w:tr>
      <w:tr>
        <w:trPr>
          <w:trHeight w:val="535"/>
        </w:trPr>
        <w:tc>
          <w:tcPr>
            <w:tcW w:w="378" w:type="dxa"/>
            <w:vAlign w:val="center"/>
            <w:textDirection w:val="lrTb"/>
            <w:noWrap w:val="false"/>
          </w:tcPr>
          <w:p>
            <w:pPr>
              <w:pStyle w:val="1070"/>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w:t>
            </w:r>
            <w:r>
              <w:rPr>
                <w:rFonts w:ascii="Times New Roman" w:hAnsi="Times New Roman" w:eastAsia="宋体" w:cs="Times New Roman"/>
                <w:color w:val="000000"/>
                <w:sz w:val="24"/>
              </w:rPr>
            </w:r>
            <w:r/>
          </w:p>
        </w:tc>
        <w:tc>
          <w:tcPr>
            <w:tcW w:w="948"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响应完整性</w:t>
            </w:r>
            <w:r>
              <w:rPr>
                <w:rFonts w:ascii="Times New Roman" w:hAnsi="Times New Roman" w:eastAsia="宋体" w:cs="Times New Roman"/>
                <w:color w:val="000000"/>
                <w:sz w:val="24"/>
              </w:rPr>
            </w:r>
            <w:r/>
          </w:p>
        </w:tc>
        <w:tc>
          <w:tcPr>
            <w:tcW w:w="2832" w:type="dxa"/>
            <w:vAlign w:val="center"/>
            <w:textDirection w:val="lrTb"/>
            <w:noWrap w:val="false"/>
          </w:tcPr>
          <w:p>
            <w:pPr>
              <w:pStyle w:val="1070"/>
              <w:jc w:val="left"/>
              <w:widowControl/>
              <w:rPr>
                <w:rFonts w:ascii="Times New Roman" w:hAnsi="Times New Roman" w:eastAsia="宋体" w:cs="Times New Roman"/>
                <w:color w:val="000000"/>
                <w:sz w:val="24"/>
              </w:rPr>
            </w:pPr>
            <w:r>
              <w:rPr>
                <w:rFonts w:hint="eastAsia" w:ascii="Times New Roman" w:hAnsi="Times New Roman" w:eastAsia="宋体" w:cs="Times New Roman"/>
                <w:sz w:val="24"/>
              </w:rPr>
              <w:t xml:space="preserve">未</w:t>
            </w:r>
            <w:r>
              <w:rPr>
                <w:rFonts w:ascii="Times New Roman" w:hAnsi="Times New Roman" w:eastAsia="宋体" w:cs="Times New Roman"/>
                <w:sz w:val="24"/>
              </w:rPr>
              <w:t xml:space="preserve">将一个采购包中的内容拆开响应；</w:t>
            </w:r>
            <w:r>
              <w:rPr>
                <w:rFonts w:ascii="Times New Roman" w:hAnsi="Times New Roman" w:eastAsia="宋体" w:cs="Times New Roman"/>
                <w:color w:val="000000"/>
                <w:sz w:val="24"/>
              </w:rPr>
            </w:r>
            <w:r/>
          </w:p>
        </w:tc>
        <w:tc>
          <w:tcPr>
            <w:tcW w:w="841" w:type="dxa"/>
            <w:vAlign w:val="center"/>
            <w:textDirection w:val="lrTb"/>
            <w:noWrap w:val="false"/>
          </w:tcPr>
          <w:p>
            <w:pPr>
              <w:pStyle w:val="1070"/>
              <w:jc w:val="center"/>
              <w:widowControl/>
              <w:rPr>
                <w:rFonts w:hint="eastAsia" w:ascii="Times New Roman" w:hAnsi="Times New Roman" w:eastAsia="宋体" w:cs="Times New Roman"/>
                <w:sz w:val="24"/>
              </w:rPr>
            </w:pPr>
            <w:r>
              <w:rPr>
                <w:rFonts w:hint="eastAsia" w:ascii="Times New Roman" w:hAnsi="Times New Roman" w:eastAsia="宋体" w:cs="Times New Roman"/>
                <w:b/>
                <w:color w:val="000000"/>
                <w:sz w:val="24"/>
                <w:lang w:val="en-US" w:eastAsia="zh-CN"/>
              </w:rPr>
              <w:t xml:space="preserve">是</w:t>
            </w:r>
            <w:r>
              <w:rPr>
                <w:rFonts w:hint="eastAsia" w:ascii="Times New Roman" w:hAnsi="Times New Roman" w:eastAsia="宋体" w:cs="Times New Roman"/>
                <w:sz w:val="24"/>
              </w:rPr>
            </w:r>
            <w:r/>
          </w:p>
        </w:tc>
      </w:tr>
      <w:tr>
        <w:trPr>
          <w:trHeight w:val="384"/>
        </w:trPr>
        <w:tc>
          <w:tcPr>
            <w:tcW w:w="378" w:type="dxa"/>
            <w:vAlign w:val="center"/>
            <w:textDirection w:val="lrTb"/>
            <w:noWrap w:val="false"/>
          </w:tcPr>
          <w:p>
            <w:pPr>
              <w:pStyle w:val="1070"/>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w:t>
            </w:r>
            <w:r>
              <w:rPr>
                <w:rFonts w:ascii="Times New Roman" w:hAnsi="Times New Roman" w:eastAsia="宋体" w:cs="Times New Roman"/>
                <w:color w:val="000000"/>
                <w:sz w:val="24"/>
              </w:rPr>
            </w:r>
            <w:r/>
          </w:p>
        </w:tc>
        <w:tc>
          <w:tcPr>
            <w:tcW w:w="948"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响应报价</w:t>
            </w:r>
            <w:r>
              <w:rPr>
                <w:rFonts w:ascii="Times New Roman" w:hAnsi="Times New Roman" w:eastAsia="宋体" w:cs="Times New Roman"/>
                <w:color w:val="000000"/>
                <w:sz w:val="24"/>
              </w:rPr>
            </w:r>
            <w:r/>
          </w:p>
        </w:tc>
        <w:tc>
          <w:tcPr>
            <w:tcW w:w="2832" w:type="dxa"/>
            <w:vAlign w:val="center"/>
            <w:textDirection w:val="lrTb"/>
            <w:noWrap w:val="false"/>
          </w:tcPr>
          <w:p>
            <w:pPr>
              <w:pStyle w:val="1070"/>
              <w:jc w:val="left"/>
              <w:widowControl/>
              <w:rPr>
                <w:rFonts w:ascii="Times New Roman" w:hAnsi="Times New Roman" w:eastAsia="宋体" w:cs="Times New Roman"/>
                <w:color w:val="000000"/>
                <w:sz w:val="24"/>
              </w:rPr>
            </w:pPr>
            <w:r>
              <w:rPr>
                <w:rFonts w:hint="eastAsia" w:ascii="Times New Roman" w:hAnsi="Times New Roman" w:eastAsia="宋体" w:cs="Calibri"/>
                <w:b/>
                <w:bCs/>
                <w:color w:val="000000"/>
                <w:sz w:val="24"/>
              </w:rPr>
              <w:t xml:space="preserve">响应报价未超过磋商文件中规定的最高限价；</w:t>
            </w:r>
            <w:r>
              <w:rPr>
                <w:rFonts w:ascii="Times New Roman" w:hAnsi="Times New Roman" w:eastAsia="宋体" w:cs="Times New Roman"/>
                <w:color w:val="000000"/>
                <w:sz w:val="24"/>
              </w:rPr>
            </w:r>
            <w:r/>
          </w:p>
        </w:tc>
        <w:tc>
          <w:tcPr>
            <w:tcW w:w="841" w:type="dxa"/>
            <w:vAlign w:val="center"/>
            <w:textDirection w:val="lrTb"/>
            <w:noWrap w:val="false"/>
          </w:tcPr>
          <w:p>
            <w:pPr>
              <w:pStyle w:val="1070"/>
              <w:jc w:val="center"/>
              <w:widowControl/>
              <w:rPr>
                <w:rFonts w:hint="eastAsia" w:ascii="Times New Roman" w:hAnsi="Times New Roman" w:eastAsia="宋体" w:cs="Calibri"/>
                <w:b/>
                <w:bCs/>
                <w:color w:val="000000"/>
                <w:sz w:val="24"/>
              </w:rPr>
            </w:pPr>
            <w:r>
              <w:rPr>
                <w:rFonts w:hint="eastAsia" w:ascii="Times New Roman" w:hAnsi="Times New Roman" w:eastAsia="宋体" w:cs="Times New Roman"/>
                <w:b/>
                <w:color w:val="000000"/>
                <w:sz w:val="24"/>
                <w:lang w:val="en-US" w:eastAsia="zh-CN"/>
              </w:rPr>
              <w:t xml:space="preserve">是</w:t>
            </w:r>
            <w:r>
              <w:rPr>
                <w:rFonts w:hint="eastAsia" w:ascii="Times New Roman" w:hAnsi="Times New Roman" w:eastAsia="宋体" w:cs="Calibri"/>
                <w:b/>
                <w:bCs/>
                <w:color w:val="000000"/>
                <w:sz w:val="24"/>
              </w:rPr>
            </w:r>
            <w:r/>
          </w:p>
        </w:tc>
      </w:tr>
      <w:tr>
        <w:trPr>
          <w:trHeight w:val="685"/>
        </w:trPr>
        <w:tc>
          <w:tcPr>
            <w:tcW w:w="378" w:type="dxa"/>
            <w:vAlign w:val="center"/>
            <w:textDirection w:val="lrTb"/>
            <w:noWrap w:val="false"/>
          </w:tcPr>
          <w:p>
            <w:pPr>
              <w:pStyle w:val="1070"/>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w:t>
            </w:r>
            <w:r>
              <w:rPr>
                <w:rFonts w:ascii="Times New Roman" w:hAnsi="Times New Roman" w:eastAsia="宋体" w:cs="Times New Roman"/>
                <w:color w:val="000000"/>
                <w:sz w:val="24"/>
              </w:rPr>
            </w:r>
            <w:r/>
          </w:p>
        </w:tc>
        <w:tc>
          <w:tcPr>
            <w:tcW w:w="948"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报价唯一性</w:t>
            </w:r>
            <w:r>
              <w:rPr>
                <w:rFonts w:ascii="Times New Roman" w:hAnsi="Times New Roman" w:eastAsia="宋体" w:cs="Times New Roman"/>
                <w:color w:val="000000"/>
                <w:sz w:val="24"/>
              </w:rPr>
            </w:r>
            <w:r/>
          </w:p>
        </w:tc>
        <w:tc>
          <w:tcPr>
            <w:tcW w:w="2832"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响应文件</w:t>
            </w:r>
            <w:r>
              <w:rPr>
                <w:rFonts w:hint="eastAsia" w:ascii="Times New Roman" w:hAnsi="Times New Roman" w:eastAsia="宋体" w:cs="Times New Roman"/>
                <w:color w:val="000000"/>
                <w:sz w:val="24"/>
              </w:rPr>
              <w:t xml:space="preserve">未</w:t>
            </w:r>
            <w:r>
              <w:rPr>
                <w:rFonts w:hint="eastAsia" w:ascii="Times New Roman" w:hAnsi="Times New Roman" w:eastAsia="宋体" w:cs="Times New Roman"/>
                <w:sz w:val="24"/>
              </w:rPr>
              <w:t xml:space="preserve">出现可选择性或可调整的报价（磋商文件另有规定的除外）</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tc>
        <w:tc>
          <w:tcPr>
            <w:tcW w:w="841" w:type="dxa"/>
            <w:vAlign w:val="center"/>
            <w:textDirection w:val="lrTb"/>
            <w:noWrap w:val="false"/>
          </w:tcPr>
          <w:p>
            <w:pPr>
              <w:pStyle w:val="1070"/>
              <w:jc w:val="center"/>
              <w:widowControl/>
              <w:rPr>
                <w:rFonts w:ascii="Times New Roman" w:hAnsi="Times New Roman" w:eastAsia="宋体" w:cs="Times New Roman"/>
                <w:color w:val="000000"/>
                <w:sz w:val="24"/>
              </w:rPr>
            </w:pPr>
            <w:r>
              <w:rPr>
                <w:rFonts w:hint="eastAsia" w:ascii="Times New Roman" w:hAnsi="Times New Roman" w:eastAsia="宋体" w:cs="Times New Roman"/>
                <w:b/>
                <w:color w:val="000000"/>
                <w:sz w:val="24"/>
                <w:lang w:val="en-US" w:eastAsia="zh-CN"/>
              </w:rPr>
              <w:t xml:space="preserve">是</w:t>
            </w:r>
            <w:r>
              <w:rPr>
                <w:rFonts w:ascii="Times New Roman" w:hAnsi="Times New Roman" w:eastAsia="宋体" w:cs="Times New Roman"/>
                <w:color w:val="000000"/>
                <w:sz w:val="24"/>
              </w:rPr>
            </w:r>
            <w:r/>
          </w:p>
        </w:tc>
      </w:tr>
      <w:tr>
        <w:trPr>
          <w:trHeight w:val="685"/>
        </w:trPr>
        <w:tc>
          <w:tcPr>
            <w:tcW w:w="378" w:type="dxa"/>
            <w:vAlign w:val="center"/>
            <w:textDirection w:val="lrTb"/>
            <w:noWrap w:val="false"/>
          </w:tcPr>
          <w:p>
            <w:pPr>
              <w:pStyle w:val="1070"/>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w:t>
            </w:r>
            <w:r>
              <w:rPr>
                <w:rFonts w:ascii="Times New Roman" w:hAnsi="Times New Roman" w:eastAsia="宋体" w:cs="Times New Roman"/>
                <w:color w:val="000000"/>
                <w:sz w:val="24"/>
              </w:rPr>
            </w:r>
            <w:r/>
          </w:p>
        </w:tc>
        <w:tc>
          <w:tcPr>
            <w:tcW w:w="948"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响应有效期</w:t>
            </w:r>
            <w:r>
              <w:rPr>
                <w:rFonts w:ascii="Times New Roman" w:hAnsi="Times New Roman" w:eastAsia="宋体" w:cs="Times New Roman"/>
                <w:color w:val="000000"/>
                <w:sz w:val="24"/>
              </w:rPr>
            </w:r>
            <w:r/>
          </w:p>
        </w:tc>
        <w:tc>
          <w:tcPr>
            <w:tcW w:w="2832"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响应文件中承诺的响应有效期</w:t>
            </w:r>
            <w:r>
              <w:rPr>
                <w:rFonts w:hint="eastAsia" w:ascii="Times New Roman" w:hAnsi="Times New Roman" w:eastAsia="宋体" w:cs="Times New Roman"/>
                <w:color w:val="000000"/>
                <w:sz w:val="24"/>
              </w:rPr>
              <w:t xml:space="preserve">满足</w:t>
            </w:r>
            <w:r>
              <w:rPr>
                <w:rFonts w:ascii="Times New Roman" w:hAnsi="Times New Roman" w:eastAsia="宋体" w:cs="Times New Roman"/>
                <w:color w:val="000000"/>
                <w:sz w:val="24"/>
              </w:rPr>
              <w:t xml:space="preserve">磋商文件中载明的响应有效期的；</w:t>
            </w:r>
            <w:r>
              <w:rPr>
                <w:rFonts w:ascii="Times New Roman" w:hAnsi="Times New Roman" w:eastAsia="宋体" w:cs="Times New Roman"/>
                <w:color w:val="000000"/>
                <w:sz w:val="24"/>
              </w:rPr>
            </w:r>
            <w:r/>
          </w:p>
        </w:tc>
        <w:tc>
          <w:tcPr>
            <w:tcW w:w="841" w:type="dxa"/>
            <w:vAlign w:val="center"/>
            <w:textDirection w:val="lrTb"/>
            <w:noWrap w:val="false"/>
          </w:tcPr>
          <w:p>
            <w:pPr>
              <w:pStyle w:val="1070"/>
              <w:jc w:val="center"/>
              <w:widowControl/>
              <w:rPr>
                <w:rFonts w:ascii="Times New Roman" w:hAnsi="Times New Roman" w:eastAsia="宋体" w:cs="Times New Roman"/>
                <w:color w:val="000000"/>
                <w:sz w:val="24"/>
              </w:rPr>
            </w:pPr>
            <w:r>
              <w:rPr>
                <w:rFonts w:hint="eastAsia" w:ascii="Times New Roman" w:hAnsi="Times New Roman" w:eastAsia="宋体" w:cs="Times New Roman"/>
                <w:b/>
                <w:color w:val="000000"/>
                <w:sz w:val="24"/>
                <w:lang w:val="en-US" w:eastAsia="zh-CN"/>
              </w:rPr>
              <w:t xml:space="preserve">是</w:t>
            </w:r>
            <w:r>
              <w:rPr>
                <w:rFonts w:ascii="Times New Roman" w:hAnsi="Times New Roman" w:eastAsia="宋体" w:cs="Times New Roman"/>
                <w:color w:val="000000"/>
                <w:sz w:val="24"/>
              </w:rPr>
            </w:r>
            <w:r/>
          </w:p>
        </w:tc>
      </w:tr>
      <w:tr>
        <w:trPr>
          <w:trHeight w:val="471"/>
        </w:trPr>
        <w:tc>
          <w:tcPr>
            <w:tcW w:w="378" w:type="dxa"/>
            <w:vAlign w:val="center"/>
            <w:textDirection w:val="lrTb"/>
            <w:noWrap w:val="false"/>
          </w:tcPr>
          <w:p>
            <w:pPr>
              <w:pStyle w:val="1070"/>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6</w:t>
            </w:r>
            <w:r>
              <w:rPr>
                <w:rFonts w:ascii="Times New Roman" w:hAnsi="Times New Roman" w:eastAsia="宋体" w:cs="Times New Roman"/>
                <w:color w:val="000000"/>
                <w:sz w:val="24"/>
              </w:rPr>
            </w:r>
            <w:r/>
          </w:p>
        </w:tc>
        <w:tc>
          <w:tcPr>
            <w:tcW w:w="948"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签署、加盖公章</w:t>
            </w:r>
            <w:r>
              <w:rPr>
                <w:rFonts w:ascii="Times New Roman" w:hAnsi="Times New Roman" w:eastAsia="宋体" w:cs="Times New Roman"/>
                <w:color w:val="000000"/>
                <w:sz w:val="24"/>
              </w:rPr>
            </w:r>
            <w:r/>
          </w:p>
        </w:tc>
        <w:tc>
          <w:tcPr>
            <w:tcW w:w="2832"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按照磋商文件要求签署、加盖公章的；</w:t>
            </w:r>
            <w:r>
              <w:rPr>
                <w:rFonts w:ascii="Times New Roman" w:hAnsi="Times New Roman" w:eastAsia="宋体" w:cs="Times New Roman"/>
                <w:color w:val="000000"/>
                <w:sz w:val="24"/>
              </w:rPr>
            </w:r>
            <w:r/>
          </w:p>
        </w:tc>
        <w:tc>
          <w:tcPr>
            <w:tcW w:w="841" w:type="dxa"/>
            <w:vAlign w:val="center"/>
            <w:textDirection w:val="lrTb"/>
            <w:noWrap w:val="false"/>
          </w:tcPr>
          <w:p>
            <w:pPr>
              <w:pStyle w:val="1070"/>
              <w:jc w:val="center"/>
              <w:widowControl/>
              <w:rPr>
                <w:rFonts w:ascii="Times New Roman" w:hAnsi="Times New Roman" w:eastAsia="宋体" w:cs="Times New Roman"/>
                <w:color w:val="000000"/>
                <w:sz w:val="24"/>
              </w:rPr>
            </w:pPr>
            <w:r>
              <w:rPr>
                <w:rFonts w:hint="eastAsia" w:ascii="Times New Roman" w:hAnsi="Times New Roman" w:eastAsia="宋体" w:cs="Times New Roman"/>
                <w:b/>
                <w:color w:val="000000"/>
                <w:sz w:val="24"/>
                <w:lang w:val="en-US" w:eastAsia="zh-CN"/>
              </w:rPr>
              <w:t xml:space="preserve">是</w:t>
            </w:r>
            <w:r>
              <w:rPr>
                <w:rFonts w:ascii="Times New Roman" w:hAnsi="Times New Roman" w:eastAsia="宋体" w:cs="Times New Roman"/>
                <w:color w:val="000000"/>
                <w:sz w:val="24"/>
              </w:rPr>
            </w:r>
            <w:r/>
          </w:p>
        </w:tc>
      </w:tr>
      <w:tr>
        <w:trPr>
          <w:trHeight w:val="685"/>
        </w:trPr>
        <w:tc>
          <w:tcPr>
            <w:tcW w:w="378" w:type="dxa"/>
            <w:vAlign w:val="center"/>
            <w:textDirection w:val="lrTb"/>
            <w:noWrap w:val="false"/>
          </w:tcPr>
          <w:p>
            <w:pPr>
              <w:pStyle w:val="1070"/>
              <w:jc w:val="center"/>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ascii="Times New Roman" w:hAnsi="Times New Roman" w:eastAsia="宋体" w:cs="Times New Roman"/>
                <w:color w:val="000000"/>
                <w:sz w:val="24"/>
              </w:rPr>
            </w:r>
            <w:r/>
          </w:p>
        </w:tc>
        <w:tc>
          <w:tcPr>
            <w:tcW w:w="948" w:type="dxa"/>
            <w:vAlign w:val="center"/>
            <w:textDirection w:val="lrTb"/>
            <w:noWrap w:val="false"/>
          </w:tcPr>
          <w:p>
            <w:pPr>
              <w:pStyle w:val="1070"/>
              <w:jc w:val="left"/>
              <w:widowControl/>
              <w:rPr>
                <w:rFonts w:ascii="Times New Roman" w:hAnsi="Times New Roman" w:eastAsia="宋体" w:cs="Times New Roman"/>
                <w:color w:val="000000"/>
                <w:sz w:val="24"/>
              </w:rPr>
            </w:pPr>
            <w:r>
              <w:rPr>
                <w:rFonts w:hint="eastAsia"/>
                <w:color w:val="000000"/>
                <w:sz w:val="24"/>
              </w:rPr>
              <w:t xml:space="preserve">实质性格式</w:t>
            </w:r>
            <w:r>
              <w:rPr>
                <w:rFonts w:hint="eastAsia"/>
                <w:color w:val="000000"/>
                <w:sz w:val="24"/>
                <w:lang w:val="en-US" w:eastAsia="zh-CN"/>
              </w:rPr>
              <w:t xml:space="preserve">及带“</w:t>
            </w:r>
            <w:r>
              <w:rPr>
                <w:rFonts w:hint="eastAsia" w:ascii="宋体" w:hAnsi="宋体" w:eastAsia="宋体" w:cs="宋体"/>
                <w:sz w:val="24"/>
                <w:lang w:val="en-US" w:eastAsia="zh-CN"/>
              </w:rPr>
              <w:t xml:space="preserve">★</w:t>
            </w:r>
            <w:r>
              <w:rPr>
                <w:rFonts w:hint="eastAsia"/>
                <w:color w:val="000000"/>
                <w:sz w:val="24"/>
                <w:lang w:val="en-US" w:eastAsia="zh-CN"/>
              </w:rPr>
              <w:t xml:space="preserve">”文件</w:t>
            </w:r>
            <w:r>
              <w:rPr>
                <w:rFonts w:ascii="Times New Roman" w:hAnsi="Times New Roman" w:eastAsia="宋体" w:cs="Times New Roman"/>
                <w:color w:val="000000"/>
                <w:sz w:val="24"/>
              </w:rPr>
            </w:r>
            <w:r/>
          </w:p>
        </w:tc>
        <w:tc>
          <w:tcPr>
            <w:tcW w:w="2832" w:type="dxa"/>
            <w:vAlign w:val="center"/>
            <w:textDirection w:val="lrTb"/>
            <w:noWrap w:val="false"/>
          </w:tcPr>
          <w:p>
            <w:pPr>
              <w:pStyle w:val="1070"/>
              <w:jc w:val="left"/>
              <w:widowControl/>
              <w:rPr>
                <w:rFonts w:ascii="Times New Roman" w:hAnsi="Times New Roman" w:eastAsia="宋体" w:cs="Times New Roman"/>
                <w:color w:val="000000"/>
                <w:sz w:val="24"/>
              </w:rPr>
            </w:pPr>
            <w:r>
              <w:rPr>
                <w:rFonts w:hint="eastAsia"/>
                <w:sz w:val="24"/>
              </w:rPr>
              <w:t xml:space="preserve">标记为</w:t>
            </w:r>
            <w:r>
              <w:rPr>
                <w:sz w:val="24"/>
              </w:rPr>
              <w:t xml:space="preserve">“实质性格式”</w:t>
            </w:r>
            <w:r>
              <w:rPr>
                <w:rFonts w:hint="eastAsia"/>
                <w:sz w:val="24"/>
                <w:lang w:val="en-US" w:eastAsia="zh-CN"/>
              </w:rPr>
              <w:t xml:space="preserve">及带“</w:t>
            </w:r>
            <w:r>
              <w:rPr>
                <w:rFonts w:hint="eastAsia" w:ascii="宋体" w:hAnsi="宋体" w:eastAsia="宋体" w:cs="宋体"/>
                <w:sz w:val="24"/>
                <w:lang w:val="en-US" w:eastAsia="zh-CN"/>
              </w:rPr>
              <w:t xml:space="preserve">★</w:t>
            </w:r>
            <w:r>
              <w:rPr>
                <w:rFonts w:hint="eastAsia"/>
                <w:sz w:val="24"/>
                <w:lang w:val="en-US" w:eastAsia="zh-CN"/>
              </w:rPr>
              <w:t xml:space="preserve">”</w:t>
            </w:r>
            <w:r>
              <w:rPr>
                <w:sz w:val="24"/>
              </w:rPr>
              <w:t xml:space="preserve">的</w:t>
            </w:r>
            <w:r>
              <w:rPr>
                <w:rFonts w:hint="eastAsia"/>
                <w:sz w:val="24"/>
              </w:rPr>
              <w:t xml:space="preserve">文件均按</w:t>
            </w:r>
            <w:r>
              <w:rPr>
                <w:sz w:val="24"/>
              </w:rPr>
              <w:t xml:space="preserve">磋商文件</w:t>
            </w:r>
            <w:r>
              <w:rPr>
                <w:rFonts w:hint="eastAsia"/>
                <w:sz w:val="24"/>
              </w:rPr>
              <w:t xml:space="preserve">要求提供；</w:t>
            </w:r>
            <w:r>
              <w:rPr>
                <w:rFonts w:ascii="Times New Roman" w:hAnsi="Times New Roman" w:eastAsia="宋体" w:cs="Times New Roman"/>
                <w:color w:val="000000"/>
                <w:sz w:val="24"/>
              </w:rPr>
            </w:r>
            <w:r/>
          </w:p>
        </w:tc>
        <w:tc>
          <w:tcPr>
            <w:tcW w:w="841" w:type="dxa"/>
            <w:vAlign w:val="center"/>
            <w:textDirection w:val="lrTb"/>
            <w:noWrap w:val="false"/>
          </w:tcPr>
          <w:p>
            <w:pPr>
              <w:pStyle w:val="1070"/>
              <w:jc w:val="center"/>
              <w:widowControl/>
              <w:rPr>
                <w:rFonts w:hint="eastAsia" w:ascii="Times New Roman" w:hAnsi="Times New Roman" w:eastAsia="宋体" w:cs="Times New Roman"/>
                <w:sz w:val="24"/>
              </w:rPr>
            </w:pPr>
            <w:r>
              <w:rPr>
                <w:rFonts w:hint="eastAsia" w:ascii="Times New Roman" w:hAnsi="Times New Roman" w:eastAsia="宋体" w:cs="Times New Roman"/>
                <w:b/>
                <w:color w:val="000000"/>
                <w:sz w:val="24"/>
                <w:lang w:val="en-US" w:eastAsia="zh-CN"/>
              </w:rPr>
              <w:t xml:space="preserve">是</w:t>
            </w:r>
            <w:r>
              <w:rPr>
                <w:rFonts w:hint="eastAsia" w:ascii="Times New Roman" w:hAnsi="Times New Roman" w:eastAsia="宋体" w:cs="Times New Roman"/>
                <w:sz w:val="24"/>
              </w:rPr>
            </w:r>
            <w:r/>
          </w:p>
        </w:tc>
      </w:tr>
      <w:tr>
        <w:trPr>
          <w:trHeight w:val="953"/>
        </w:trPr>
        <w:tc>
          <w:tcPr>
            <w:tcW w:w="378" w:type="dxa"/>
            <w:vAlign w:val="center"/>
            <w:textDirection w:val="lrTb"/>
            <w:noWrap w:val="false"/>
          </w:tcPr>
          <w:p>
            <w:pPr>
              <w:pStyle w:val="1070"/>
              <w:jc w:val="center"/>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hint="eastAsia" w:ascii="Times New Roman" w:hAnsi="Times New Roman" w:eastAsia="宋体" w:cs="Times New Roman"/>
                <w:color w:val="000000"/>
                <w:sz w:val="24"/>
              </w:rPr>
            </w:r>
            <w:r/>
          </w:p>
        </w:tc>
        <w:tc>
          <w:tcPr>
            <w:tcW w:w="948"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公平竞争</w:t>
            </w:r>
            <w:r>
              <w:rPr>
                <w:rFonts w:ascii="Times New Roman" w:hAnsi="Times New Roman" w:eastAsia="宋体" w:cs="Times New Roman"/>
                <w:color w:val="000000"/>
                <w:sz w:val="24"/>
              </w:rPr>
            </w:r>
            <w:r/>
          </w:p>
        </w:tc>
        <w:tc>
          <w:tcPr>
            <w:tcW w:w="2832"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供应商遵循公平竞争的原则，不存在恶意串通，妨碍其他供应商的竞争行为，不存在损害采购人或者其他供应商的合法权益情形的；</w:t>
            </w:r>
            <w:r>
              <w:rPr>
                <w:rFonts w:ascii="Times New Roman" w:hAnsi="Times New Roman" w:eastAsia="宋体" w:cs="Times New Roman"/>
                <w:color w:val="000000"/>
                <w:sz w:val="24"/>
              </w:rPr>
            </w:r>
            <w:r/>
          </w:p>
        </w:tc>
        <w:tc>
          <w:tcPr>
            <w:tcW w:w="841" w:type="dxa"/>
            <w:vAlign w:val="center"/>
            <w:textDirection w:val="lrTb"/>
            <w:noWrap w:val="false"/>
          </w:tcPr>
          <w:p>
            <w:pPr>
              <w:pStyle w:val="1070"/>
              <w:jc w:val="center"/>
              <w:widowControl/>
              <w:rPr>
                <w:rFonts w:ascii="Times New Roman" w:hAnsi="Times New Roman" w:eastAsia="宋体" w:cs="Times New Roman"/>
                <w:color w:val="000000"/>
                <w:sz w:val="24"/>
              </w:rPr>
            </w:pPr>
            <w:r>
              <w:rPr>
                <w:rFonts w:hint="eastAsia" w:ascii="Times New Roman" w:hAnsi="Times New Roman" w:eastAsia="宋体" w:cs="Times New Roman"/>
                <w:b/>
                <w:color w:val="000000"/>
                <w:sz w:val="24"/>
                <w:lang w:val="en-US" w:eastAsia="zh-CN"/>
              </w:rPr>
              <w:t xml:space="preserve">是</w:t>
            </w:r>
            <w:r>
              <w:rPr>
                <w:rFonts w:ascii="Times New Roman" w:hAnsi="Times New Roman" w:eastAsia="宋体" w:cs="Times New Roman"/>
                <w:color w:val="000000"/>
                <w:sz w:val="24"/>
              </w:rPr>
            </w:r>
            <w:r/>
          </w:p>
        </w:tc>
      </w:tr>
      <w:tr>
        <w:trPr>
          <w:trHeight w:val="685"/>
        </w:trPr>
        <w:tc>
          <w:tcPr>
            <w:tcW w:w="378" w:type="dxa"/>
            <w:vAlign w:val="center"/>
            <w:textDirection w:val="lrTb"/>
            <w:noWrap w:val="false"/>
          </w:tcPr>
          <w:p>
            <w:pPr>
              <w:pStyle w:val="1070"/>
              <w:jc w:val="center"/>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hint="eastAsia" w:ascii="Times New Roman" w:hAnsi="Times New Roman" w:eastAsia="宋体" w:cs="Times New Roman"/>
                <w:color w:val="000000"/>
                <w:sz w:val="24"/>
              </w:rPr>
            </w:r>
            <w:r/>
          </w:p>
        </w:tc>
        <w:tc>
          <w:tcPr>
            <w:tcW w:w="948"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串通响应</w:t>
            </w:r>
            <w:r>
              <w:rPr>
                <w:rFonts w:ascii="Times New Roman" w:hAnsi="Times New Roman" w:eastAsia="宋体" w:cs="Times New Roman"/>
                <w:color w:val="000000"/>
                <w:sz w:val="24"/>
              </w:rPr>
            </w:r>
            <w:r/>
          </w:p>
        </w:tc>
        <w:tc>
          <w:tcPr>
            <w:tcW w:w="2832" w:type="dxa"/>
            <w:vAlign w:val="center"/>
            <w:textDirection w:val="lrTb"/>
            <w:noWrap w:val="false"/>
          </w:tcPr>
          <w:p>
            <w:pPr>
              <w:pStyle w:val="1070"/>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不存在《政府采购货物和服务招标响应管理办法》视为供应商串通响应的情形：</w:t>
            </w:r>
            <w:r>
              <w:rPr>
                <w:rFonts w:hint="eastAsia" w:ascii="Times New Roman" w:hAnsi="Times New Roman" w:eastAsia="宋体" w:cs="Times New Roman"/>
                <w:color w:val="000000"/>
                <w:sz w:val="24"/>
              </w:rPr>
            </w:r>
            <w:r/>
          </w:p>
          <w:p>
            <w:pPr>
              <w:pStyle w:val="1070"/>
              <w:numPr>
                <w:ilvl w:val="0"/>
                <w:numId w:val="9"/>
              </w:num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不同供应商的响应文件由同一单位或者个人编制（包含使用同一MAC地址的计算机制作电子响应文件的情形）；</w:t>
            </w:r>
            <w:r>
              <w:rPr>
                <w:rFonts w:hint="eastAsia" w:ascii="Times New Roman" w:hAnsi="Times New Roman" w:eastAsia="宋体" w:cs="Times New Roman"/>
                <w:color w:val="000000"/>
                <w:sz w:val="24"/>
              </w:rPr>
            </w:r>
            <w:r/>
          </w:p>
          <w:p>
            <w:pPr>
              <w:pStyle w:val="1070"/>
              <w:numPr>
                <w:ilvl w:val="0"/>
                <w:numId w:val="9"/>
              </w:numPr>
              <w:ind w:left="0" w:firstLine="0"/>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不同供应商委托同一单位或者个人办理响应事宜（包含使用同一MAC地址的计算机提交或者解密电子响应文件的情形）；</w:t>
            </w:r>
            <w:r>
              <w:rPr>
                <w:rFonts w:hint="eastAsia" w:ascii="Times New Roman" w:hAnsi="Times New Roman" w:eastAsia="宋体" w:cs="Times New Roman"/>
                <w:color w:val="000000"/>
                <w:sz w:val="24"/>
              </w:rPr>
            </w:r>
            <w:r/>
          </w:p>
          <w:p>
            <w:pPr>
              <w:pStyle w:val="1070"/>
              <w:numPr>
                <w:ilvl w:val="0"/>
                <w:numId w:val="9"/>
              </w:numPr>
              <w:ind w:left="0" w:firstLine="0"/>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不同供应商的响应文件载明的项目管理成员或者联系人员为同一人；</w:t>
            </w:r>
            <w:r>
              <w:rPr>
                <w:rFonts w:hint="eastAsia" w:ascii="Times New Roman" w:hAnsi="Times New Roman" w:eastAsia="宋体" w:cs="Times New Roman"/>
                <w:color w:val="000000"/>
                <w:sz w:val="24"/>
              </w:rPr>
            </w:r>
            <w:r/>
          </w:p>
          <w:p>
            <w:pPr>
              <w:pStyle w:val="1070"/>
              <w:numPr>
                <w:ilvl w:val="0"/>
                <w:numId w:val="9"/>
              </w:numPr>
              <w:ind w:left="0" w:firstLine="0"/>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不同供应商的响应文件异常一致或者响应报价呈规律性差异；</w:t>
            </w:r>
            <w:r>
              <w:rPr>
                <w:rFonts w:hint="eastAsia" w:ascii="Times New Roman" w:hAnsi="Times New Roman" w:eastAsia="宋体" w:cs="Times New Roman"/>
                <w:color w:val="000000"/>
                <w:sz w:val="24"/>
              </w:rPr>
            </w:r>
            <w:r/>
          </w:p>
          <w:p>
            <w:pPr>
              <w:pStyle w:val="1070"/>
              <w:numPr>
                <w:ilvl w:val="0"/>
                <w:numId w:val="9"/>
              </w:numPr>
              <w:ind w:left="0" w:firstLine="0"/>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不同供应商的响应文件相互混装；</w:t>
            </w:r>
            <w:r>
              <w:rPr>
                <w:rFonts w:hint="eastAsia" w:ascii="Times New Roman" w:hAnsi="Times New Roman" w:eastAsia="宋体" w:cs="Times New Roman"/>
                <w:color w:val="000000"/>
                <w:sz w:val="24"/>
              </w:rPr>
            </w:r>
            <w:r/>
          </w:p>
          <w:p>
            <w:pPr>
              <w:pStyle w:val="1070"/>
              <w:jc w:val="left"/>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（六）不同供应商的响应保证金从同一单位或者个人的账户转出；</w:t>
            </w:r>
            <w:r>
              <w:rPr>
                <w:rFonts w:ascii="Times New Roman" w:hAnsi="Times New Roman" w:eastAsia="宋体" w:cs="Times New Roman"/>
                <w:color w:val="000000"/>
                <w:sz w:val="24"/>
              </w:rPr>
            </w:r>
            <w:r/>
          </w:p>
        </w:tc>
        <w:tc>
          <w:tcPr>
            <w:tcW w:w="841" w:type="dxa"/>
            <w:vAlign w:val="center"/>
            <w:textDirection w:val="lrTb"/>
            <w:noWrap w:val="false"/>
          </w:tcPr>
          <w:p>
            <w:pPr>
              <w:pStyle w:val="1070"/>
              <w:jc w:val="center"/>
              <w:widowControl/>
              <w:rPr>
                <w:rFonts w:hint="eastAsia" w:ascii="Times New Roman" w:hAnsi="Times New Roman" w:eastAsia="宋体" w:cs="Times New Roman"/>
                <w:color w:val="000000"/>
                <w:sz w:val="24"/>
              </w:rPr>
            </w:pPr>
            <w:r>
              <w:rPr>
                <w:rFonts w:hint="eastAsia" w:ascii="Times New Roman" w:hAnsi="Times New Roman" w:eastAsia="宋体" w:cs="Times New Roman"/>
                <w:b/>
                <w:color w:val="000000"/>
                <w:sz w:val="24"/>
                <w:lang w:val="en-US" w:eastAsia="zh-CN"/>
              </w:rPr>
              <w:t xml:space="preserve">是</w:t>
            </w:r>
            <w:r>
              <w:rPr>
                <w:rFonts w:hint="eastAsia" w:ascii="Times New Roman" w:hAnsi="Times New Roman" w:eastAsia="宋体" w:cs="Times New Roman"/>
                <w:color w:val="000000"/>
                <w:sz w:val="24"/>
              </w:rPr>
            </w:r>
            <w:r/>
          </w:p>
        </w:tc>
      </w:tr>
      <w:tr>
        <w:trPr>
          <w:trHeight w:val="459"/>
        </w:trPr>
        <w:tc>
          <w:tcPr>
            <w:tcW w:w="378" w:type="dxa"/>
            <w:vAlign w:val="center"/>
            <w:textDirection w:val="lrTb"/>
            <w:noWrap w:val="false"/>
          </w:tcPr>
          <w:p>
            <w:pPr>
              <w:pStyle w:val="1070"/>
              <w:jc w:val="center"/>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10</w:t>
            </w:r>
            <w:r>
              <w:rPr>
                <w:rFonts w:ascii="Times New Roman" w:hAnsi="Times New Roman" w:eastAsia="宋体" w:cs="Times New Roman"/>
                <w:color w:val="000000"/>
                <w:sz w:val="24"/>
              </w:rPr>
            </w:r>
            <w:r/>
          </w:p>
        </w:tc>
        <w:tc>
          <w:tcPr>
            <w:tcW w:w="948"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附加条件</w:t>
            </w:r>
            <w:r>
              <w:rPr>
                <w:rFonts w:ascii="Times New Roman" w:hAnsi="Times New Roman" w:eastAsia="宋体" w:cs="Times New Roman"/>
                <w:color w:val="000000"/>
                <w:sz w:val="24"/>
              </w:rPr>
            </w:r>
            <w:r/>
          </w:p>
        </w:tc>
        <w:tc>
          <w:tcPr>
            <w:tcW w:w="2832"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响应文件</w:t>
            </w:r>
            <w:r>
              <w:rPr>
                <w:rFonts w:hint="eastAsia" w:ascii="Times New Roman" w:hAnsi="Times New Roman" w:eastAsia="宋体" w:cs="Times New Roman"/>
                <w:color w:val="000000"/>
                <w:sz w:val="24"/>
              </w:rPr>
              <w:t xml:space="preserve">未</w:t>
            </w:r>
            <w:r>
              <w:rPr>
                <w:rFonts w:ascii="Times New Roman" w:hAnsi="Times New Roman" w:eastAsia="宋体" w:cs="Times New Roman"/>
                <w:color w:val="000000"/>
                <w:sz w:val="24"/>
              </w:rPr>
              <w:t xml:space="preserve">含有采购人不能接受的附加条件的；</w:t>
            </w:r>
            <w:r>
              <w:rPr>
                <w:rFonts w:ascii="Times New Roman" w:hAnsi="Times New Roman" w:eastAsia="宋体" w:cs="Times New Roman"/>
                <w:color w:val="000000"/>
                <w:sz w:val="24"/>
              </w:rPr>
            </w:r>
            <w:r/>
          </w:p>
        </w:tc>
        <w:tc>
          <w:tcPr>
            <w:tcW w:w="841" w:type="dxa"/>
            <w:vAlign w:val="center"/>
            <w:textDirection w:val="lrTb"/>
            <w:noWrap w:val="false"/>
          </w:tcPr>
          <w:p>
            <w:pPr>
              <w:pStyle w:val="1070"/>
              <w:jc w:val="center"/>
              <w:widowControl/>
              <w:rPr>
                <w:rFonts w:ascii="Times New Roman" w:hAnsi="Times New Roman" w:eastAsia="宋体" w:cs="Times New Roman"/>
                <w:color w:val="000000"/>
                <w:sz w:val="24"/>
              </w:rPr>
            </w:pPr>
            <w:r>
              <w:rPr>
                <w:rFonts w:hint="eastAsia" w:ascii="Times New Roman" w:hAnsi="Times New Roman" w:eastAsia="宋体" w:cs="Times New Roman"/>
                <w:b/>
                <w:color w:val="000000"/>
                <w:sz w:val="24"/>
                <w:lang w:val="en-US" w:eastAsia="zh-CN"/>
              </w:rPr>
              <w:t xml:space="preserve">是</w:t>
            </w:r>
            <w:r>
              <w:rPr>
                <w:rFonts w:ascii="Times New Roman" w:hAnsi="Times New Roman" w:eastAsia="宋体" w:cs="Times New Roman"/>
                <w:color w:val="000000"/>
                <w:sz w:val="24"/>
              </w:rPr>
            </w:r>
            <w:r/>
          </w:p>
        </w:tc>
      </w:tr>
      <w:tr>
        <w:trPr>
          <w:trHeight w:val="596"/>
        </w:trPr>
        <w:tc>
          <w:tcPr>
            <w:tcW w:w="378" w:type="dxa"/>
            <w:vAlign w:val="center"/>
            <w:textDirection w:val="lrTb"/>
            <w:noWrap w:val="false"/>
          </w:tcPr>
          <w:p>
            <w:pPr>
              <w:pStyle w:val="1070"/>
              <w:jc w:val="center"/>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11</w:t>
            </w:r>
            <w:r>
              <w:rPr>
                <w:rFonts w:hint="eastAsia" w:ascii="Times New Roman" w:hAnsi="Times New Roman" w:eastAsia="宋体" w:cs="Times New Roman"/>
                <w:color w:val="000000"/>
                <w:sz w:val="24"/>
              </w:rPr>
            </w:r>
            <w:r/>
          </w:p>
        </w:tc>
        <w:tc>
          <w:tcPr>
            <w:tcW w:w="948"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其他无效情形</w:t>
            </w:r>
            <w:r>
              <w:rPr>
                <w:rFonts w:ascii="Times New Roman" w:hAnsi="Times New Roman" w:eastAsia="宋体" w:cs="Times New Roman"/>
                <w:color w:val="000000"/>
                <w:sz w:val="24"/>
              </w:rPr>
            </w:r>
            <w:r/>
          </w:p>
        </w:tc>
        <w:tc>
          <w:tcPr>
            <w:tcW w:w="2832" w:type="dxa"/>
            <w:vAlign w:val="center"/>
            <w:textDirection w:val="lrTb"/>
            <w:noWrap w:val="false"/>
          </w:tcPr>
          <w:p>
            <w:pPr>
              <w:pStyle w:val="1070"/>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供应商、响应文件</w:t>
            </w:r>
            <w:r>
              <w:rPr>
                <w:rFonts w:hint="eastAsia" w:ascii="Times New Roman" w:hAnsi="Times New Roman" w:eastAsia="宋体" w:cs="Times New Roman"/>
                <w:color w:val="000000"/>
                <w:sz w:val="24"/>
              </w:rPr>
              <w:t xml:space="preserve">不存在</w:t>
            </w:r>
            <w:r>
              <w:rPr>
                <w:rFonts w:ascii="Times New Roman" w:hAnsi="Times New Roman" w:eastAsia="宋体" w:cs="Times New Roman"/>
                <w:color w:val="000000"/>
                <w:sz w:val="24"/>
              </w:rPr>
              <w:t xml:space="preserve">不符合法律、法规和磋商文件规定的其他无效情形。</w:t>
            </w:r>
            <w:r>
              <w:rPr>
                <w:rFonts w:ascii="Times New Roman" w:hAnsi="Times New Roman" w:eastAsia="宋体" w:cs="Times New Roman"/>
                <w:color w:val="000000"/>
                <w:sz w:val="24"/>
              </w:rPr>
            </w:r>
            <w:r/>
          </w:p>
        </w:tc>
        <w:tc>
          <w:tcPr>
            <w:tcW w:w="841" w:type="dxa"/>
            <w:vAlign w:val="center"/>
            <w:textDirection w:val="lrTb"/>
            <w:noWrap w:val="false"/>
          </w:tcPr>
          <w:p>
            <w:pPr>
              <w:pStyle w:val="1070"/>
              <w:jc w:val="center"/>
              <w:widowControl/>
              <w:rPr>
                <w:rFonts w:ascii="Times New Roman" w:hAnsi="Times New Roman" w:eastAsia="宋体" w:cs="Times New Roman"/>
                <w:color w:val="000000"/>
                <w:sz w:val="24"/>
              </w:rPr>
            </w:pPr>
            <w:r>
              <w:rPr>
                <w:rFonts w:hint="eastAsia" w:ascii="Times New Roman" w:hAnsi="Times New Roman" w:eastAsia="宋体" w:cs="Times New Roman"/>
                <w:b/>
                <w:color w:val="000000"/>
                <w:sz w:val="24"/>
                <w:lang w:val="en-US" w:eastAsia="zh-CN"/>
              </w:rPr>
              <w:t xml:space="preserve">是</w:t>
            </w:r>
            <w:r>
              <w:rPr>
                <w:rFonts w:ascii="Times New Roman" w:hAnsi="Times New Roman" w:eastAsia="宋体" w:cs="Times New Roman"/>
                <w:color w:val="000000"/>
                <w:sz w:val="24"/>
              </w:rPr>
            </w:r>
            <w:r/>
          </w:p>
        </w:tc>
      </w:tr>
    </w:tbl>
    <w:p>
      <w:pPr>
        <w:pStyle w:val="1070"/>
        <w:ind w:firstLine="4200"/>
        <w:jc w:val="left"/>
        <w:keepLines w:val="0"/>
        <w:keepNext w:val="0"/>
        <w:pageBreakBefore w:val="0"/>
        <w:spacing w:before="0" w:beforeAutospacing="0" w:after="0" w:afterAutospacing="0" w:line="500" w:lineRule="exact"/>
        <w:widowControl/>
        <w:rPr>
          <w:rFonts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8"/>
          <w:szCs w:val="28"/>
          <w:lang w:val="en-US" w:eastAsia="zh-CN" w:bidi="ar-SA"/>
        </w:rPr>
        <w:t xml:space="preserve">投标供应商（公章）：</w:t>
      </w:r>
      <w:r>
        <w:rPr>
          <w:rFonts w:ascii="宋体" w:hAnsi="宋体" w:eastAsia="宋体" w:cs="宋体"/>
          <w:sz w:val="24"/>
          <w:szCs w:val="24"/>
          <w:lang w:val="en-US" w:eastAsia="zh-CN" w:bidi="ar-SA"/>
        </w:rPr>
      </w:r>
      <w:r/>
    </w:p>
    <w:p>
      <w:pPr>
        <w:pStyle w:val="1070"/>
        <w:ind w:firstLine="4200"/>
        <w:jc w:val="left"/>
        <w:keepLines w:val="0"/>
        <w:keepNext w:val="0"/>
        <w:pageBreakBefore w:val="0"/>
        <w:spacing w:before="0" w:beforeAutospacing="0" w:after="0" w:afterAutospacing="0" w:line="500" w:lineRule="exact"/>
        <w:widowControl/>
        <w:rPr>
          <w:rFonts w:ascii="Times New Roman" w:hAnsi="Times New Roman" w:eastAsia="宋体" w:cs="Times New Roman"/>
          <w:color w:val="000000"/>
          <w:sz w:val="24"/>
          <w:szCs w:val="2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8"/>
          <w:szCs w:val="28"/>
          <w:lang w:val="en-US" w:eastAsia="zh-CN" w:bidi="ar-SA"/>
        </w:rPr>
        <w:t xml:space="preserve">日期：</w:t>
      </w:r>
      <w:r>
        <w:rPr>
          <w:rFonts w:ascii="Times New Roman" w:hAnsi="Times New Roman" w:eastAsia="宋体" w:cs="Times New Roman"/>
          <w:color w:val="000000"/>
          <w:sz w:val="24"/>
          <w:szCs w:val="20"/>
        </w:rPr>
        <w:t xml:space="preserve"> </w:t>
      </w:r>
      <w:r/>
    </w:p>
    <w:sectPr>
      <w:headerReference w:type="even" r:id="rId11"/>
      <w:headerReference w:type="first" r:id="rId12"/>
      <w:footerReference w:type="even" r:id="rId19"/>
      <w:footerReference w:type="first" r:id="rId20"/>
      <w:footnotePr/>
      <w:endnotePr/>
      <w:type w:val="nextPage"/>
      <w:pgSz w:w="11905" w:h="16838" w:orient="portrait"/>
      <w:pgMar w:top="1417" w:right="1134" w:bottom="1417" w:left="1134"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仿宋">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07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070"/>
                    </w:pPr>
                    <w:r/>
                    <w:r/>
                  </w:p>
                </w:txbxContent>
              </v:textbox>
            </v:shape>
          </w:pict>
        </mc:Fallback>
      </mc:AlternateContent>
    </w:r>
    <w:r>
      <w:rPr>
        <w:rFonts w:ascii="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fldSimple w:instr="PAGE \* MERGEFORMAT">
      <w:r>
        <w:t xml:space="preserve">1</w:t>
      </w:r>
    </w:fldSimple>
    <w:r/>
    <w:r/>
  </w:p>
  <w:p>
    <w:pPr>
      <w:pStyle w:val="92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070"/>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07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fldSimple w:instr="PAGE \* MERGEFORMAT">
      <w:r>
        <w:t xml:space="preserve">1</w:t>
      </w:r>
    </w:fldSimple>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Bdr>
        <w:bottom w:val="single" w:color="000000" w:sz="4" w:space="1"/>
      </w:pBdr>
    </w:pPr>
    <w:r>
      <w:rPr>
        <w:rFonts w:hint="eastAsia"/>
        <w:sz w:val="21"/>
        <w:szCs w:val="21"/>
      </w:rPr>
      <w:t xml:space="preserve">竞争性磋商文件                     </w:t>
    </w:r>
    <w:r>
      <w:rPr>
        <w:rFonts w:hint="eastAsia"/>
        <w:sz w:val="21"/>
        <w:szCs w:val="21"/>
        <w:lang w:val="en-US" w:eastAsia="zh-CN"/>
      </w:rPr>
      <w:t xml:space="preserve">   </w:t>
    </w:r>
    <w:r>
      <w:rPr>
        <w:rFonts w:hint="eastAsia"/>
        <w:sz w:val="21"/>
        <w:szCs w:val="21"/>
      </w:rPr>
      <w:t xml:space="preserve">                             江苏苏南项目管理有限公司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rPr>
        <w:rFonts w:hint="eastAsia"/>
      </w:rPr>
      <w:pBdr>
        <w:bottom w:val="single" w:color="000000" w:sz="4" w:space="1"/>
      </w:pBdr>
    </w:pPr>
    <w:r>
      <w:rPr>
        <w:rFonts w:hint="eastAsia"/>
        <w:sz w:val="21"/>
        <w:szCs w:val="21"/>
      </w:rPr>
      <w:t xml:space="preserve">竞争性磋商文件            </w:t>
    </w:r>
    <w:r>
      <w:rPr>
        <w:rFonts w:hint="eastAsia"/>
        <w:sz w:val="21"/>
        <w:szCs w:val="21"/>
        <w:lang w:val="en-US" w:eastAsia="zh-CN"/>
      </w:rPr>
      <w:t xml:space="preserve">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                           江苏苏南项目管理有限公司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107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spacing w:before="0" w:after="0"/>
      <w:tabs>
        <w:tab w:val="left" w:pos="4153" w:leader="none"/>
        <w:tab w:val="left" w:pos="8306" w:leader="none"/>
      </w:tabs>
      <w:pBdr>
        <w:top w:val="none" w:color="000000" w:sz="4" w:space="0"/>
        <w:left w:val="none" w:color="000000" w:sz="4" w:space="0"/>
        <w:bottom w:val="single" w:color="000000" w:sz="4" w:space="0"/>
        <w:right w:val="none" w:color="000000" w:sz="4" w:space="0"/>
      </w:pBdr>
    </w:pPr>
    <w:r>
      <w:rPr>
        <w:rFonts w:ascii="SimSun" w:hAnsi="SimSun" w:eastAsia="SimSun" w:cs="SimSun"/>
        <w:color w:val="000000"/>
        <w:sz w:val="21"/>
      </w:rPr>
      <w:t xml:space="preserve">竞争性磋商文件                                                     江苏苏南项目管理有限公司</w:t>
    </w: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82"/>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7"/>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7"/>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6"/>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12"/>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3"/>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6"/>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4"/>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pStyle w:val="1181"/>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7">
    <w:multiLevelType w:val="hybridMultilevel"/>
    <w:lvl w:ilvl="0">
      <w:start w:val="1"/>
      <w:numFmt w:val="decimal"/>
      <w:pStyle w:val="1282"/>
      <w:isLgl w:val="false"/>
      <w:suff w:val="tab"/>
      <w:lvlText w:val="%1"/>
      <w:lvlJc w:val="left"/>
      <w:pPr>
        <w:pStyle w:val="1070"/>
        <w:ind w:left="680" w:hanging="680"/>
      </w:pPr>
      <w:rPr>
        <w:rFonts w:hint="eastAsia" w:ascii="宋体" w:hAnsi="宋体" w:eastAsia="宋体"/>
      </w:rPr>
    </w:lvl>
    <w:lvl w:ilvl="1">
      <w:start w:val="1"/>
      <w:numFmt w:val="decimal"/>
      <w:pStyle w:val="1283"/>
      <w:isLgl w:val="false"/>
      <w:suff w:val="tab"/>
      <w:lvlText w:val="%1.%2"/>
      <w:lvlJc w:val="left"/>
      <w:pPr>
        <w:pStyle w:val="1070"/>
        <w:ind w:left="851" w:hanging="851"/>
      </w:pPr>
      <w:rPr>
        <w:rFonts w:hint="eastAsia" w:ascii="宋体" w:hAnsi="宋体" w:eastAsia="宋体"/>
        <w:color w:val="000000"/>
      </w:rPr>
    </w:lvl>
    <w:lvl w:ilvl="2">
      <w:start w:val="1"/>
      <w:numFmt w:val="decimal"/>
      <w:pStyle w:val="1284"/>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8">
    <w:multiLevelType w:val="hybridMultilevel"/>
    <w:lvl w:ilvl="0">
      <w:start w:val="1"/>
      <w:numFmt w:val="chineseCounting"/>
      <w:isLgl w:val="false"/>
      <w:suff w:val="nothing"/>
      <w:lvlText w:val="（%1）"/>
      <w:lvlJc w:val="left"/>
      <w:pPr>
        <w:pStyle w:val="10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70"/>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70"/>
    <w:link w:val="1084"/>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5"/>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6"/>
    <w:qFormat/>
    <w:pPr>
      <w:keepLines/>
      <w:keepNext/>
      <w:spacing w:before="280" w:after="290" w:line="376" w:lineRule="atLeast"/>
      <w:outlineLvl w:val="4"/>
    </w:pPr>
    <w:rPr>
      <w:b/>
      <w:sz w:val="28"/>
      <w:szCs w:val="20"/>
    </w:rPr>
  </w:style>
  <w:style w:type="paragraph" w:styleId="1076">
    <w:name w:val="标题 6"/>
    <w:basedOn w:val="1070"/>
    <w:next w:val="1070"/>
    <w:link w:val="1087"/>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88"/>
    <w:qFormat/>
    <w:pPr>
      <w:keepLines/>
      <w:keepNext/>
      <w:spacing w:before="240" w:after="64" w:line="320" w:lineRule="atLeast"/>
      <w:outlineLvl w:val="6"/>
    </w:pPr>
    <w:rPr>
      <w:b/>
      <w:sz w:val="24"/>
      <w:szCs w:val="20"/>
    </w:rPr>
  </w:style>
  <w:style w:type="paragraph" w:styleId="1078">
    <w:name w:val="标题 8"/>
    <w:basedOn w:val="1070"/>
    <w:next w:val="1070"/>
    <w:link w:val="1089"/>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0"/>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082">
    <w:name w:val="标题 1 Char"/>
    <w:next w:val="1082"/>
    <w:link w:val="1071"/>
    <w:qFormat/>
    <w:rPr>
      <w:rFonts w:ascii="宋体"/>
      <w:b/>
      <w:sz w:val="32"/>
    </w:rPr>
  </w:style>
  <w:style w:type="character" w:styleId="1083">
    <w:name w:val="标题 2 Char1"/>
    <w:next w:val="1083"/>
    <w:link w:val="1072"/>
    <w:qFormat/>
    <w:rPr>
      <w:rFonts w:ascii="Arial" w:hAnsi="Arial" w:eastAsia="黑体"/>
      <w:b/>
      <w:sz w:val="30"/>
      <w:lang w:val="en-US" w:eastAsia="zh-CN" w:bidi="ar-SA"/>
    </w:rPr>
  </w:style>
  <w:style w:type="character" w:styleId="1084">
    <w:name w:val="标题 3 Char1"/>
    <w:next w:val="1084"/>
    <w:link w:val="1073"/>
    <w:qFormat/>
    <w:rPr>
      <w:rFonts w:ascii="宋体" w:eastAsia="宋体"/>
      <w:b/>
      <w:sz w:val="24"/>
      <w:u w:val="single"/>
      <w:lang w:val="en-US" w:eastAsia="zh-CN" w:bidi="ar-SA"/>
    </w:rPr>
  </w:style>
  <w:style w:type="character" w:styleId="1085">
    <w:name w:val="标题 4 Char"/>
    <w:next w:val="1085"/>
    <w:link w:val="1074"/>
    <w:qFormat/>
    <w:rPr>
      <w:rFonts w:ascii="Arial" w:hAnsi="Arial" w:eastAsia="黑体"/>
      <w:b/>
      <w:sz w:val="28"/>
    </w:rPr>
  </w:style>
  <w:style w:type="character" w:styleId="1086">
    <w:name w:val="标题 5 Char"/>
    <w:next w:val="1086"/>
    <w:link w:val="1075"/>
    <w:qFormat/>
    <w:rPr>
      <w:b/>
      <w:sz w:val="28"/>
    </w:rPr>
  </w:style>
  <w:style w:type="character" w:styleId="1087">
    <w:name w:val="标题 6 Char"/>
    <w:next w:val="1087"/>
    <w:link w:val="1076"/>
    <w:qFormat/>
    <w:rPr>
      <w:rFonts w:ascii="Arial" w:hAnsi="Arial" w:eastAsia="黑体"/>
      <w:b/>
      <w:sz w:val="24"/>
    </w:rPr>
  </w:style>
  <w:style w:type="character" w:styleId="1088">
    <w:name w:val="标题 7 Char"/>
    <w:next w:val="1088"/>
    <w:link w:val="1077"/>
    <w:qFormat/>
    <w:rPr>
      <w:b/>
      <w:sz w:val="24"/>
    </w:rPr>
  </w:style>
  <w:style w:type="character" w:styleId="1089">
    <w:name w:val="标题 8 Char"/>
    <w:next w:val="1089"/>
    <w:link w:val="1078"/>
    <w:qFormat/>
    <w:rPr>
      <w:rFonts w:ascii="Arial" w:hAnsi="Arial" w:eastAsia="黑体"/>
      <w:sz w:val="24"/>
    </w:rPr>
  </w:style>
  <w:style w:type="character" w:styleId="1090">
    <w:name w:val="标题 9 Char"/>
    <w:next w:val="1090"/>
    <w:link w:val="1079"/>
    <w:qFormat/>
    <w:rPr>
      <w:rFonts w:ascii="Arial" w:hAnsi="Arial" w:eastAsia="黑体"/>
      <w:sz w:val="21"/>
    </w:rPr>
  </w:style>
  <w:style w:type="paragraph" w:styleId="1091">
    <w:name w:val="目录 7"/>
    <w:basedOn w:val="1070"/>
    <w:next w:val="1070"/>
    <w:link w:val="1070"/>
    <w:qFormat/>
    <w:pPr>
      <w:ind w:left="2520"/>
    </w:pPr>
  </w:style>
  <w:style w:type="paragraph" w:styleId="1092">
    <w:name w:val="正文缩进"/>
    <w:basedOn w:val="1070"/>
    <w:next w:val="1092"/>
    <w:link w:val="1093"/>
    <w:qFormat/>
    <w:pPr>
      <w:ind w:firstLine="420"/>
      <w:jc w:val="left"/>
    </w:pPr>
    <w:rPr>
      <w:rFonts w:ascii="宋体"/>
      <w:sz w:val="24"/>
    </w:rPr>
  </w:style>
  <w:style w:type="character" w:styleId="1093">
    <w:name w:val="正文缩进 Char1"/>
    <w:next w:val="1093"/>
    <w:link w:val="1092"/>
    <w:qFormat/>
    <w:rPr>
      <w:rFonts w:ascii="宋体" w:eastAsia="宋体"/>
      <w:sz w:val="24"/>
      <w:szCs w:val="24"/>
      <w:lang w:val="en-US" w:eastAsia="zh-CN" w:bidi="ar-SA"/>
    </w:r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Char"/>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Char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Char"/>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Char"/>
    <w:next w:val="1102"/>
    <w:link w:val="1101"/>
    <w:qFormat/>
    <w:rPr>
      <w:rFonts w:ascii="宋体" w:hAnsi="宋体"/>
      <w:sz w:val="24"/>
      <w:szCs w:val="24"/>
    </w:rPr>
  </w:style>
  <w:style w:type="paragraph" w:styleId="1103">
    <w:name w:val="正文文本缩进"/>
    <w:basedOn w:val="1070"/>
    <w:next w:val="1070"/>
    <w:link w:val="1104"/>
    <w:qFormat/>
    <w:pPr>
      <w:ind w:firstLine="570"/>
      <w:spacing w:line="360" w:lineRule="auto"/>
    </w:pPr>
    <w:rPr>
      <w:sz w:val="24"/>
    </w:rPr>
  </w:style>
  <w:style w:type="character" w:styleId="1104">
    <w:name w:val="正文文本缩进 Char2"/>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070"/>
    <w:link w:val="1110"/>
    <w:qFormat/>
    <w:rPr>
      <w:rFonts w:hint="eastAsia" w:ascii="宋体" w:hAnsi="Courier New"/>
      <w:szCs w:val="20"/>
    </w:rPr>
  </w:style>
  <w:style w:type="character" w:styleId="1110">
    <w:name w:val="纯文本 Char"/>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Char"/>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Char"/>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Char"/>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Char1"/>
    <w:next w:val="1119"/>
    <w:link w:val="1118"/>
    <w:uiPriority w:val="99"/>
    <w:qFormat/>
    <w:rPr>
      <w:rFonts w:ascii="宋体" w:eastAsia="宋体"/>
      <w:sz w:val="18"/>
      <w:lang w:val="en-US" w:eastAsia="zh-CN" w:bidi="ar-SA"/>
    </w:rPr>
  </w:style>
  <w:style w:type="paragraph" w:styleId="1120">
    <w:name w:val="寄信人地址"/>
    <w:basedOn w:val="1070"/>
    <w:next w:val="1120"/>
    <w:link w:val="1070"/>
    <w:qFormat/>
    <w:rPr>
      <w:rFonts w:ascii="Arial" w:hAnsi="Arial"/>
    </w:rPr>
  </w:style>
  <w:style w:type="paragraph" w:styleId="1121">
    <w:name w:val="页眉"/>
    <w:basedOn w:val="1070"/>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Char1"/>
    <w:next w:val="1122"/>
    <w:link w:val="1121"/>
    <w:qFormat/>
    <w:rPr>
      <w:rFonts w:eastAsia="宋体"/>
      <w:sz w:val="18"/>
      <w:szCs w:val="18"/>
      <w:lang w:val="en-US" w:eastAsia="zh-CN" w:bidi="ar-SA"/>
    </w:rPr>
  </w:style>
  <w:style w:type="paragraph" w:styleId="1123">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0"/>
    <w:next w:val="1070"/>
    <w:link w:val="1070"/>
    <w:qFormat/>
    <w:pPr>
      <w:ind w:left="1260"/>
    </w:pPr>
  </w:style>
  <w:style w:type="paragraph" w:styleId="1125">
    <w:name w:val="目录 6"/>
    <w:basedOn w:val="1070"/>
    <w:next w:val="1070"/>
    <w:link w:val="1070"/>
    <w:qFormat/>
    <w:pPr>
      <w:ind w:left="2100"/>
    </w:pPr>
  </w:style>
  <w:style w:type="paragraph" w:styleId="1126">
    <w:name w:val="正文文本缩进 3"/>
    <w:basedOn w:val="1070"/>
    <w:next w:val="1126"/>
    <w:link w:val="1127"/>
    <w:qFormat/>
    <w:pPr>
      <w:ind w:left="720" w:firstLine="480"/>
      <w:jc w:val="left"/>
      <w:spacing w:before="120" w:line="22" w:lineRule="atLeast"/>
    </w:pPr>
    <w:rPr>
      <w:rFonts w:ascii="宋体"/>
      <w:sz w:val="24"/>
      <w:szCs w:val="20"/>
    </w:rPr>
  </w:style>
  <w:style w:type="character" w:styleId="1127">
    <w:name w:val="正文文本缩进 3 Char"/>
    <w:next w:val="1127"/>
    <w:link w:val="1126"/>
    <w:qFormat/>
    <w:rPr>
      <w:rFonts w:ascii="宋体"/>
      <w:sz w:val="24"/>
    </w:rPr>
  </w:style>
  <w:style w:type="paragraph" w:styleId="1128">
    <w:name w:val="目录 2"/>
    <w:basedOn w:val="1070"/>
    <w:next w:val="1070"/>
    <w:link w:val="1070"/>
    <w:uiPriority w:val="39"/>
    <w:qFormat/>
    <w:pPr>
      <w:ind w:left="420"/>
      <w:spacing w:line="312" w:lineRule="auto"/>
      <w:tabs>
        <w:tab w:val="right" w:pos="8937" w:leader="dot"/>
      </w:tabs>
    </w:pPr>
  </w:style>
  <w:style w:type="paragraph" w:styleId="1129">
    <w:name w:val="目录 9"/>
    <w:basedOn w:val="1070"/>
    <w:next w:val="1070"/>
    <w:link w:val="1070"/>
    <w:qFormat/>
    <w:pPr>
      <w:ind w:left="3360"/>
    </w:pPr>
  </w:style>
  <w:style w:type="paragraph" w:styleId="1130">
    <w:name w:val="HTML 预设格式"/>
    <w:basedOn w:val="1070"/>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Char"/>
    <w:next w:val="1131"/>
    <w:link w:val="1130"/>
    <w:qFormat/>
    <w:rPr>
      <w:rFonts w:ascii="宋体" w:hAnsi="宋体" w:cs="宋体"/>
      <w:sz w:val="24"/>
      <w:szCs w:val="24"/>
    </w:rPr>
  </w:style>
  <w:style w:type="paragraph" w:styleId="1132">
    <w:name w:val="普通(网站)"/>
    <w:basedOn w:val="1070"/>
    <w:next w:val="1132"/>
    <w:link w:val="1070"/>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0"/>
    <w:next w:val="1070"/>
    <w:link w:val="1070"/>
    <w:qFormat/>
    <w:rPr>
      <w:szCs w:val="20"/>
    </w:rPr>
  </w:style>
  <w:style w:type="paragraph" w:styleId="1134">
    <w:name w:val="标题"/>
    <w:basedOn w:val="1070"/>
    <w:next w:val="1134"/>
    <w:link w:val="1135"/>
    <w:qFormat/>
    <w:pPr>
      <w:jc w:val="center"/>
      <w:outlineLvl w:val="0"/>
    </w:pPr>
    <w:rPr>
      <w:b/>
      <w:sz w:val="32"/>
      <w:szCs w:val="20"/>
    </w:rPr>
  </w:style>
  <w:style w:type="character" w:styleId="1135">
    <w:name w:val="标题 Char1"/>
    <w:next w:val="1135"/>
    <w:link w:val="1134"/>
    <w:qFormat/>
    <w:rPr>
      <w:b/>
      <w:sz w:val="32"/>
    </w:rPr>
  </w:style>
  <w:style w:type="paragraph" w:styleId="1136">
    <w:name w:val="批注主题"/>
    <w:basedOn w:val="1097"/>
    <w:next w:val="1097"/>
    <w:link w:val="1137"/>
    <w:qFormat/>
    <w:rPr>
      <w:b/>
      <w:bCs/>
    </w:rPr>
  </w:style>
  <w:style w:type="character" w:styleId="1137">
    <w:name w:val="批注主题 Char"/>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3"/>
    <w:next w:val="1070"/>
    <w:link w:val="1139"/>
    <w:qFormat/>
    <w:pPr>
      <w:ind w:left="420" w:firstLine="420"/>
      <w:spacing w:after="120" w:line="480" w:lineRule="exact"/>
    </w:pPr>
    <w:rPr>
      <w:szCs w:val="20"/>
    </w:rPr>
  </w:style>
  <w:style w:type="character" w:styleId="1139">
    <w:name w:val="正文首行缩进 2 Char"/>
    <w:next w:val="1139"/>
    <w:link w:val="1138"/>
    <w:qFormat/>
    <w:rPr>
      <w:rFonts w:eastAsia="宋体"/>
      <w:sz w:val="24"/>
      <w:szCs w:val="24"/>
      <w:lang w:val="en-US" w:eastAsia="zh-CN" w:bidi="ar-SA"/>
    </w:rPr>
  </w:style>
  <w:style w:type="table" w:styleId="1140">
    <w:name w:val="网格型"/>
    <w:basedOn w:val="1081"/>
    <w:next w:val="1140"/>
    <w:link w:val="1070"/>
    <w:uiPriority w:val="39"/>
    <w:qFormat/>
    <w:tblPr/>
  </w:style>
  <w:style w:type="table" w:styleId="1141">
    <w:name w:val="中等深浅网格 1 - 强调文字颜色 2"/>
    <w:basedOn w:val="1081"/>
    <w:next w:val="1141"/>
    <w:link w:val="1070"/>
    <w:qFormat/>
    <w:rPr>
      <w:sz w:val="21"/>
      <w:szCs w:val="24"/>
    </w:rPr>
    <w:tblPr/>
  </w:style>
  <w:style w:type="character" w:styleId="1142">
    <w:name w:val="要点"/>
    <w:next w:val="1142"/>
    <w:link w:val="1070"/>
    <w:qFormat/>
    <w:rPr>
      <w:b/>
      <w:bCs/>
    </w:rPr>
  </w:style>
  <w:style w:type="character" w:styleId="1143">
    <w:name w:val="页码"/>
    <w:next w:val="1143"/>
    <w:link w:val="1070"/>
    <w:qFormat/>
  </w:style>
  <w:style w:type="character" w:styleId="1144">
    <w:name w:val="已访问的超链接"/>
    <w:next w:val="1144"/>
    <w:link w:val="1070"/>
    <w:qFormat/>
    <w:rPr>
      <w:color w:val="0084ff"/>
      <w:u w:val="none"/>
    </w:rPr>
  </w:style>
  <w:style w:type="character" w:styleId="1145">
    <w:name w:val="强调"/>
    <w:next w:val="1145"/>
    <w:link w:val="1070"/>
    <w:qFormat/>
    <w:rPr>
      <w:color w:val="cc0033"/>
    </w:rPr>
  </w:style>
  <w:style w:type="character" w:styleId="1146">
    <w:name w:val="超链接"/>
    <w:next w:val="1146"/>
    <w:link w:val="1070"/>
    <w:uiPriority w:val="99"/>
    <w:qFormat/>
    <w:rPr>
      <w:color w:val="0084ff"/>
      <w:u w:val="none"/>
    </w:rPr>
  </w:style>
  <w:style w:type="character" w:styleId="1147">
    <w:name w:val="HTML 代码"/>
    <w:next w:val="1147"/>
    <w:link w:val="1070"/>
    <w:rPr>
      <w:rFonts w:ascii="monospace" w:hAnsi="monospace" w:eastAsia="monospace" w:cs="monospace"/>
      <w:sz w:val="21"/>
      <w:szCs w:val="21"/>
    </w:rPr>
  </w:style>
  <w:style w:type="character" w:styleId="1148">
    <w:name w:val="批注引用"/>
    <w:next w:val="1148"/>
    <w:link w:val="1070"/>
    <w:uiPriority w:val="99"/>
    <w:qFormat/>
    <w:rPr>
      <w:sz w:val="21"/>
      <w:szCs w:val="21"/>
    </w:rPr>
  </w:style>
  <w:style w:type="character" w:styleId="1149">
    <w:name w:val="HTML 引文"/>
    <w:next w:val="1149"/>
    <w:link w:val="1070"/>
    <w:qFormat/>
    <w:rPr>
      <w:i/>
      <w:iCs/>
    </w:rPr>
  </w:style>
  <w:style w:type="character" w:styleId="1150">
    <w:name w:val="HTML 键盘"/>
    <w:next w:val="1150"/>
    <w:link w:val="1070"/>
    <w:rPr>
      <w:rFonts w:ascii="monospace" w:hAnsi="monospace" w:eastAsia="monospace" w:cs="monospace"/>
      <w:sz w:val="21"/>
      <w:szCs w:val="21"/>
    </w:rPr>
  </w:style>
  <w:style w:type="character" w:styleId="1151">
    <w:name w:val="HTML 样本"/>
    <w:next w:val="1151"/>
    <w:link w:val="1070"/>
    <w:rPr>
      <w:rFonts w:ascii="monospace" w:hAnsi="monospace" w:eastAsia="monospace" w:cs="monospace"/>
      <w:sz w:val="21"/>
      <w:szCs w:val="21"/>
    </w:rPr>
  </w:style>
  <w:style w:type="character" w:styleId="1152">
    <w:name w:val="批注文字 字符"/>
    <w:next w:val="1152"/>
    <w:link w:val="1070"/>
    <w:uiPriority w:val="99"/>
    <w:qFormat/>
    <w:rPr>
      <w:rFonts w:ascii="Times New Roman" w:hAnsi="Times New Roman" w:eastAsia="宋体" w:cs="Times New Roman"/>
      <w:sz w:val="24"/>
      <w:lang w:val="en-US" w:eastAsia="zh-CN" w:bidi="ar-SA"/>
    </w:rPr>
  </w:style>
  <w:style w:type="character" w:styleId="1153">
    <w:name w:val="c21"/>
    <w:next w:val="1153"/>
    <w:link w:val="1070"/>
    <w:qFormat/>
    <w:rPr>
      <w:rFonts w:ascii="ˎ̥" w:hAnsi="ˎ̥"/>
      <w:color w:val="000000"/>
      <w:sz w:val="20"/>
      <w:szCs w:val="20"/>
      <w:u w:val="none"/>
    </w:rPr>
  </w:style>
  <w:style w:type="character" w:styleId="1154">
    <w:name w:val="title4"/>
    <w:next w:val="1154"/>
    <w:link w:val="1070"/>
    <w:qFormat/>
    <w:rPr>
      <w:b/>
      <w:bCs/>
      <w:color w:val="1d87b3"/>
      <w:sz w:val="15"/>
      <w:szCs w:val="15"/>
    </w:rPr>
  </w:style>
  <w:style w:type="character" w:styleId="1155">
    <w:name w:val="标题 2 Char Char"/>
    <w:next w:val="1155"/>
    <w:link w:val="1070"/>
    <w:qFormat/>
    <w:rPr>
      <w:rFonts w:ascii="Arial" w:hAnsi="Arial" w:eastAsia="黑体"/>
      <w:b/>
      <w:bCs/>
      <w:sz w:val="32"/>
      <w:szCs w:val="32"/>
      <w:lang w:val="en-US" w:eastAsia="zh-CN" w:bidi="ar-SA"/>
    </w:rPr>
  </w:style>
  <w:style w:type="character" w:styleId="1156">
    <w:name w:val="black1"/>
    <w:next w:val="1156"/>
    <w:link w:val="1070"/>
    <w:qFormat/>
    <w:rPr>
      <w:color w:val="000000"/>
    </w:rPr>
  </w:style>
  <w:style w:type="character" w:styleId="1157">
    <w:name w:val="street-address"/>
    <w:next w:val="1157"/>
    <w:link w:val="1070"/>
    <w:qFormat/>
  </w:style>
  <w:style w:type="character" w:styleId="1158">
    <w:name w:val="locality"/>
    <w:next w:val="1158"/>
    <w:link w:val="1070"/>
    <w:qFormat/>
  </w:style>
  <w:style w:type="character" w:styleId="1159">
    <w:name w:val="正文文本缩进 Char1"/>
    <w:next w:val="1159"/>
    <w:link w:val="1160"/>
    <w:qFormat/>
    <w:rPr>
      <w:rFonts w:ascii="宋体" w:hAnsi="宋体" w:eastAsia="宋体"/>
      <w:sz w:val="24"/>
      <w:szCs w:val="24"/>
      <w:lang w:bidi="ar-SA"/>
    </w:rPr>
  </w:style>
  <w:style w:type="paragraph" w:styleId="1160">
    <w:name w:val="正文文本缩进1"/>
    <w:basedOn w:val="1070"/>
    <w:next w:val="1160"/>
    <w:link w:val="1159"/>
    <w:qFormat/>
    <w:pPr>
      <w:ind w:firstLine="480"/>
      <w:spacing w:line="480" w:lineRule="exact"/>
    </w:pPr>
    <w:rPr>
      <w:rFonts w:ascii="宋体" w:hAnsi="宋体"/>
      <w:sz w:val="24"/>
    </w:rPr>
  </w:style>
  <w:style w:type="character" w:styleId="1161">
    <w:name w:val="Char Char11"/>
    <w:next w:val="1161"/>
    <w:link w:val="1070"/>
    <w:qFormat/>
    <w:rPr>
      <w:rFonts w:ascii="宋体" w:eastAsia="宋体"/>
      <w:b/>
      <w:sz w:val="24"/>
      <w:u w:val="single"/>
      <w:lang w:val="en-US" w:eastAsia="zh-CN" w:bidi="ar-SA"/>
    </w:rPr>
  </w:style>
  <w:style w:type="character" w:styleId="1162">
    <w:name w:val="txt"/>
    <w:next w:val="1162"/>
    <w:link w:val="1070"/>
    <w:qFormat/>
  </w:style>
  <w:style w:type="character" w:styleId="1163">
    <w:name w:val="正文缩进 Char Char"/>
    <w:next w:val="1163"/>
    <w:link w:val="1164"/>
    <w:qFormat/>
    <w:rPr>
      <w:rFonts w:ascii="宋体" w:eastAsia="宋体"/>
      <w:color w:val="000000"/>
      <w:sz w:val="28"/>
      <w:lang w:bidi="ar-SA"/>
    </w:rPr>
  </w:style>
  <w:style w:type="paragraph" w:styleId="1164">
    <w:name w:val="正文缩进1"/>
    <w:basedOn w:val="1070"/>
    <w:next w:val="1164"/>
    <w:link w:val="1163"/>
    <w:qFormat/>
    <w:pPr>
      <w:ind w:firstLine="567"/>
      <w:spacing w:line="480" w:lineRule="exact"/>
      <w:widowControl/>
    </w:pPr>
    <w:rPr>
      <w:rFonts w:ascii="宋体"/>
      <w:color w:val="000000"/>
      <w:sz w:val="28"/>
      <w:szCs w:val="20"/>
    </w:rPr>
  </w:style>
  <w:style w:type="character" w:styleId="1165">
    <w:name w:val="普通文字1 Char1"/>
    <w:next w:val="1165"/>
    <w:link w:val="1070"/>
    <w:qFormat/>
    <w:rPr>
      <w:rFonts w:ascii="宋体" w:hAnsi="Courier New" w:eastAsia="宋体"/>
      <w:sz w:val="21"/>
      <w:lang w:val="en-US" w:eastAsia="zh-CN" w:bidi="ar-SA"/>
    </w:rPr>
  </w:style>
  <w:style w:type="character" w:styleId="1166">
    <w:name w:val="chanpin1"/>
    <w:next w:val="1166"/>
    <w:link w:val="1070"/>
    <w:qFormat/>
    <w:rPr>
      <w:rFonts w:ascii="ˎ̥" w:hAnsi="ˎ̥"/>
      <w:color w:val="000000"/>
      <w:sz w:val="20"/>
      <w:szCs w:val="20"/>
      <w:u w:val="none"/>
    </w:rPr>
  </w:style>
  <w:style w:type="character" w:styleId="1167">
    <w:name w:val="列出段落 Char1"/>
    <w:next w:val="1167"/>
    <w:link w:val="1168"/>
    <w:uiPriority w:val="34"/>
    <w:qFormat/>
    <w:rPr>
      <w:rFonts w:ascii="Calibri" w:hAnsi="Calibri" w:eastAsia="宋体"/>
      <w:sz w:val="21"/>
      <w:szCs w:val="22"/>
      <w:lang w:val="en-US" w:eastAsia="zh-CN" w:bidi="ar-SA"/>
    </w:rPr>
  </w:style>
  <w:style w:type="paragraph" w:styleId="1168">
    <w:name w:val="列出段落"/>
    <w:basedOn w:val="1070"/>
    <w:next w:val="1168"/>
    <w:link w:val="1167"/>
    <w:uiPriority w:val="34"/>
    <w:qFormat/>
    <w:pPr>
      <w:ind w:firstLine="420"/>
    </w:pPr>
    <w:rPr>
      <w:rFonts w:ascii="Calibri" w:hAnsi="Calibri"/>
      <w:szCs w:val="22"/>
    </w:rPr>
  </w:style>
  <w:style w:type="character" w:styleId="1169">
    <w:name w:val="标题 3 Char Char"/>
    <w:next w:val="1169"/>
    <w:link w:val="1070"/>
    <w:qFormat/>
    <w:rPr>
      <w:rFonts w:eastAsia="宋体"/>
      <w:b/>
      <w:bCs/>
      <w:sz w:val="32"/>
      <w:szCs w:val="32"/>
      <w:lang w:val="en-US" w:eastAsia="zh-CN" w:bidi="ar-SA"/>
    </w:rPr>
  </w:style>
  <w:style w:type="character" w:styleId="1170">
    <w:name w:val="段1 Char"/>
    <w:next w:val="1170"/>
    <w:link w:val="1070"/>
    <w:qFormat/>
    <w:rPr>
      <w:rFonts w:ascii="宋体" w:eastAsia="宋体"/>
      <w:sz w:val="24"/>
      <w:lang w:val="en-US" w:eastAsia="zh-CN" w:bidi="ar-SA"/>
    </w:rPr>
  </w:style>
  <w:style w:type="character" w:styleId="1171">
    <w:name w:val="chanpin拷贝"/>
    <w:next w:val="1171"/>
    <w:link w:val="1070"/>
    <w:qFormat/>
  </w:style>
  <w:style w:type="character" w:styleId="1172">
    <w:name w:val="纯文本 Char1"/>
    <w:next w:val="1172"/>
    <w:link w:val="1070"/>
    <w:qFormat/>
    <w:rPr>
      <w:rFonts w:ascii="宋体" w:hAnsi="Courier New" w:eastAsia="宋体"/>
      <w:sz w:val="21"/>
      <w:lang w:val="en-US" w:eastAsia="zh-CN" w:bidi="ar-SA"/>
    </w:rPr>
  </w:style>
  <w:style w:type="character" w:styleId="1173">
    <w:name w:val="apple-style-span"/>
    <w:next w:val="1173"/>
    <w:link w:val="1070"/>
    <w:qFormat/>
    <w:rPr>
      <w:rFonts w:cs="Times New Roman"/>
    </w:rPr>
  </w:style>
  <w:style w:type="paragraph" w:styleId="1174">
    <w:name w:val="二级条标题"/>
    <w:basedOn w:val="1175"/>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5">
    <w:name w:val="一级条标题"/>
    <w:basedOn w:val="1176"/>
    <w:next w:val="1070"/>
    <w:link w:val="1070"/>
    <w:qFormat/>
    <w:pPr>
      <w:numPr>
        <w:ilvl w:val="1"/>
      </w:numPr>
      <w:ind w:left="0" w:hanging="840"/>
      <w:tabs>
        <w:tab w:val="left" w:pos="360" w:leader="none"/>
        <w:tab w:val="left" w:pos="840" w:leader="none"/>
      </w:tabs>
      <w:outlineLvl w:val="1"/>
    </w:pPr>
  </w:style>
  <w:style w:type="paragraph" w:styleId="1176">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7">
    <w:name w:val="font7"/>
    <w:basedOn w:val="1070"/>
    <w:next w:val="1177"/>
    <w:link w:val="1070"/>
    <w:qFormat/>
    <w:pPr>
      <w:jc w:val="left"/>
      <w:spacing w:before="100" w:beforeAutospacing="1" w:after="100" w:afterAutospacing="1"/>
      <w:widowControl/>
    </w:pPr>
    <w:rPr>
      <w:rFonts w:eastAsia="Arial Unicode MS"/>
      <w:b/>
      <w:bCs/>
      <w:color w:val="000000"/>
      <w:sz w:val="20"/>
      <w:szCs w:val="20"/>
    </w:rPr>
  </w:style>
  <w:style w:type="paragraph" w:styleId="1178">
    <w:name w:val="字元 字元"/>
    <w:basedOn w:val="1070"/>
    <w:next w:val="1178"/>
    <w:link w:val="1070"/>
    <w:qFormat/>
    <w:rPr>
      <w:rFonts w:ascii="Tahoma" w:hAnsi="Tahoma"/>
      <w:sz w:val="24"/>
      <w:szCs w:val="20"/>
    </w:rPr>
  </w:style>
  <w:style w:type="paragraph" w:styleId="1179">
    <w:name w:val="Char3 Char Char Char"/>
    <w:basedOn w:val="1070"/>
    <w:next w:val="1179"/>
    <w:link w:val="1070"/>
    <w:qFormat/>
    <w:rPr>
      <w:rFonts w:ascii="Tahoma" w:hAnsi="Tahoma"/>
      <w:sz w:val="24"/>
      <w:szCs w:val="20"/>
    </w:rPr>
  </w:style>
  <w:style w:type="paragraph" w:styleId="1180">
    <w:name w:val="font6"/>
    <w:basedOn w:val="1070"/>
    <w:next w:val="1180"/>
    <w:link w:val="1070"/>
    <w:qFormat/>
    <w:pPr>
      <w:jc w:val="left"/>
      <w:spacing w:before="100" w:beforeAutospacing="1" w:after="100" w:afterAutospacing="1"/>
      <w:widowControl/>
    </w:pPr>
    <w:rPr>
      <w:rFonts w:ascii="宋体" w:hAnsi="宋体" w:cs="宋体"/>
      <w:sz w:val="20"/>
      <w:szCs w:val="20"/>
    </w:rPr>
  </w:style>
  <w:style w:type="paragraph" w:styleId="1181">
    <w:name w:val="项目编号2"/>
    <w:basedOn w:val="1182"/>
    <w:next w:val="1181"/>
    <w:link w:val="1070"/>
    <w:qFormat/>
    <w:pPr>
      <w:numPr>
        <w:numId w:val="3"/>
      </w:numPr>
    </w:pPr>
  </w:style>
  <w:style w:type="paragraph" w:styleId="1182">
    <w:name w:val="项目编号1"/>
    <w:basedOn w:val="1070"/>
    <w:next w:val="1182"/>
    <w:link w:val="1070"/>
    <w:qFormat/>
    <w:pPr>
      <w:numPr>
        <w:ilvl w:val="0"/>
        <w:numId w:val="2"/>
      </w:numPr>
      <w:spacing w:before="100" w:beforeAutospacing="1" w:after="100" w:afterAutospacing="1" w:line="360" w:lineRule="auto"/>
    </w:pPr>
    <w:rPr>
      <w:sz w:val="24"/>
    </w:rPr>
  </w:style>
  <w:style w:type="paragraph" w:styleId="1183">
    <w:name w:val="图中文字"/>
    <w:basedOn w:val="1070"/>
    <w:next w:val="1183"/>
    <w:link w:val="1070"/>
    <w:qFormat/>
    <w:pPr>
      <w:jc w:val="center"/>
      <w:spacing w:line="0" w:lineRule="atLeast"/>
    </w:pPr>
    <w:rPr>
      <w:sz w:val="24"/>
      <w:szCs w:val="20"/>
    </w:rPr>
  </w:style>
  <w:style w:type="paragraph" w:styleId="1184">
    <w:name w:val="xl46"/>
    <w:basedOn w:val="1070"/>
    <w:next w:val="1184"/>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name w:val="xl25"/>
    <w:basedOn w:val="1070"/>
    <w:next w:val="118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Char2"/>
    <w:basedOn w:val="1070"/>
    <w:next w:val="1186"/>
    <w:link w:val="1070"/>
    <w:qFormat/>
    <w:rPr>
      <w:rFonts w:ascii="Tahoma" w:hAnsi="Tahoma"/>
      <w:sz w:val="24"/>
      <w:szCs w:val="20"/>
    </w:rPr>
  </w:style>
  <w:style w:type="paragraph" w:styleId="1187">
    <w:name w:val="xl35"/>
    <w:basedOn w:val="1070"/>
    <w:next w:val="1187"/>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xl40"/>
    <w:basedOn w:val="1070"/>
    <w:next w:val="1188"/>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52"/>
    <w:basedOn w:val="1070"/>
    <w:next w:val="1189"/>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0">
    <w:name w:val="xl43"/>
    <w:basedOn w:val="1070"/>
    <w:next w:val="1190"/>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background1"/>
    <w:basedOn w:val="1070"/>
    <w:next w:val="1191"/>
    <w:link w:val="1070"/>
    <w:qFormat/>
    <w:pPr>
      <w:jc w:val="left"/>
      <w:spacing w:before="100" w:beforeAutospacing="1" w:after="100" w:afterAutospacing="1"/>
      <w:widowControl/>
    </w:pPr>
    <w:rPr>
      <w:rFonts w:ascii="宋体" w:hAnsi="宋体" w:cs="宋体"/>
      <w:sz w:val="24"/>
    </w:rPr>
  </w:style>
  <w:style w:type="paragraph" w:styleId="1192">
    <w:name w:val="Char Char Char Char Char Char Char"/>
    <w:basedOn w:val="1070"/>
    <w:next w:val="1192"/>
    <w:link w:val="1070"/>
    <w:qFormat/>
    <w:pPr>
      <w:ind w:firstLine="200"/>
      <w:spacing w:line="360" w:lineRule="auto"/>
    </w:pPr>
    <w:rPr>
      <w:rFonts w:eastAsia="仿宋_GB2312"/>
      <w:sz w:val="24"/>
    </w:rPr>
  </w:style>
  <w:style w:type="paragraph" w:styleId="1193">
    <w:name w:val="xl38"/>
    <w:basedOn w:val="1070"/>
    <w:next w:val="119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4">
    <w:name w:val="xl36"/>
    <w:basedOn w:val="1070"/>
    <w:next w:val="1194"/>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正文 + 宋体"/>
    <w:basedOn w:val="1070"/>
    <w:next w:val="1195"/>
    <w:link w:val="1070"/>
    <w:qFormat/>
    <w:pPr>
      <w:ind w:left="360" w:hanging="360"/>
      <w:jc w:val="left"/>
      <w:widowControl/>
    </w:pPr>
    <w:rPr>
      <w:rFonts w:ascii="宋体" w:hAnsi="宋体" w:cs="宋体"/>
      <w:b/>
      <w:bCs/>
      <w:color w:val="000000"/>
      <w:sz w:val="18"/>
      <w:szCs w:val="18"/>
    </w:rPr>
  </w:style>
  <w:style w:type="paragraph" w:styleId="1196">
    <w:name w:val="正文列项_数字"/>
    <w:basedOn w:val="1070"/>
    <w:next w:val="1196"/>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7">
    <w:name w:val="xl39"/>
    <w:basedOn w:val="1070"/>
    <w:next w:val="119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37"/>
    <w:basedOn w:val="1070"/>
    <w:next w:val="1198"/>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xl32"/>
    <w:basedOn w:val="1070"/>
    <w:next w:val="1199"/>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font8"/>
    <w:basedOn w:val="1070"/>
    <w:next w:val="1200"/>
    <w:link w:val="1070"/>
    <w:qFormat/>
    <w:pPr>
      <w:jc w:val="left"/>
      <w:spacing w:before="100" w:beforeAutospacing="1" w:after="100" w:afterAutospacing="1"/>
      <w:widowControl/>
    </w:pPr>
    <w:rPr>
      <w:sz w:val="36"/>
      <w:szCs w:val="36"/>
    </w:rPr>
  </w:style>
  <w:style w:type="paragraph" w:styleId="1201">
    <w:name w:val="Char"/>
    <w:basedOn w:val="1070"/>
    <w:next w:val="1201"/>
    <w:link w:val="1070"/>
    <w:qFormat/>
    <w:pPr>
      <w:tabs>
        <w:tab w:val="left" w:pos="360" w:leader="none"/>
      </w:tabs>
    </w:pPr>
    <w:rPr>
      <w:sz w:val="24"/>
    </w:rPr>
  </w:style>
  <w:style w:type="paragraph" w:styleId="1202">
    <w:name w:val="Char Char Char Char Char Char Char Char Char Char Char Char Char Char Char Char"/>
    <w:basedOn w:val="1070"/>
    <w:next w:val="1202"/>
    <w:link w:val="1070"/>
    <w:qFormat/>
    <w:pPr>
      <w:jc w:val="center"/>
      <w:spacing w:after="160" w:line="240" w:lineRule="exact"/>
      <w:widowControl/>
    </w:pPr>
    <w:rPr>
      <w:rFonts w:ascii="宋体" w:hAnsi="宋体"/>
      <w:b/>
      <w:sz w:val="30"/>
      <w:szCs w:val="30"/>
      <w:lang w:eastAsia="en-US"/>
    </w:rPr>
  </w:style>
  <w:style w:type="paragraph" w:styleId="1203">
    <w:name w:val="xl45"/>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4">
    <w:name w:val="Char Char1 Char Char Char Char Char Char"/>
    <w:basedOn w:val="1070"/>
    <w:next w:val="1204"/>
    <w:link w:val="1070"/>
    <w:qFormat/>
    <w:pPr>
      <w:jc w:val="left"/>
      <w:spacing w:after="160" w:line="240" w:lineRule="exact"/>
      <w:widowControl/>
    </w:pPr>
    <w:rPr>
      <w:rFonts w:ascii="Verdana" w:hAnsi="Verdana" w:eastAsia="仿宋_GB2312"/>
      <w:sz w:val="24"/>
      <w:szCs w:val="20"/>
      <w:lang w:eastAsia="en-US"/>
    </w:rPr>
  </w:style>
  <w:style w:type="paragraph" w:styleId="1205">
    <w:name w:val="Char Char1"/>
    <w:basedOn w:val="1095"/>
    <w:next w:val="1205"/>
    <w:link w:val="1070"/>
    <w:qFormat/>
    <w:rPr>
      <w:rFonts w:ascii="Tahoma" w:hAnsi="Tahoma"/>
      <w:sz w:val="24"/>
    </w:rPr>
  </w:style>
  <w:style w:type="paragraph" w:styleId="1206">
    <w:name w:val="xl26"/>
    <w:basedOn w:val="1070"/>
    <w:next w:val="120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7">
    <w:name w:val="xl30"/>
    <w:basedOn w:val="1070"/>
    <w:next w:val="120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xl41"/>
    <w:basedOn w:val="1070"/>
    <w:next w:val="1208"/>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name w:val="样式 宋体 五号 行距: 单倍行距"/>
    <w:basedOn w:val="1070"/>
    <w:next w:val="1209"/>
    <w:link w:val="1070"/>
    <w:qFormat/>
    <w:pPr>
      <w:jc w:val="left"/>
    </w:pPr>
    <w:rPr>
      <w:rFonts w:ascii="宋体" w:hAnsi="宋体"/>
      <w:szCs w:val="20"/>
    </w:rPr>
  </w:style>
  <w:style w:type="paragraph" w:styleId="1210">
    <w:name w:val="Char1 Char Char Char1"/>
    <w:basedOn w:val="1070"/>
    <w:next w:val="1210"/>
    <w:link w:val="1070"/>
    <w:qFormat/>
    <w:rPr>
      <w:rFonts w:ascii="Tahoma" w:hAnsi="Tahoma" w:cs="仿宋_GB2312"/>
      <w:sz w:val="24"/>
      <w:szCs w:val="28"/>
    </w:rPr>
  </w:style>
  <w:style w:type="paragraph" w:styleId="1211">
    <w:name w:val="四级条标题"/>
    <w:basedOn w:val="1212"/>
    <w:next w:val="1070"/>
    <w:link w:val="1070"/>
    <w:qFormat/>
    <w:pPr>
      <w:numPr>
        <w:ilvl w:val="4"/>
      </w:numPr>
      <w:ind w:left="0" w:hanging="840"/>
      <w:tabs>
        <w:tab w:val="left" w:pos="360" w:leader="none"/>
        <w:tab w:val="left" w:pos="840" w:leader="none"/>
      </w:tabs>
      <w:outlineLvl w:val="4"/>
    </w:pPr>
  </w:style>
  <w:style w:type="paragraph" w:styleId="1212">
    <w:name w:val="三级条标题"/>
    <w:basedOn w:val="1174"/>
    <w:next w:val="1070"/>
    <w:link w:val="1070"/>
    <w:qFormat/>
    <w:pPr>
      <w:numPr>
        <w:ilvl w:val="3"/>
        <w:numId w:val="1"/>
      </w:numPr>
      <w:ind w:left="0" w:hanging="840"/>
      <w:tabs>
        <w:tab w:val="left" w:pos="360" w:leader="none"/>
        <w:tab w:val="left" w:pos="840" w:leader="none"/>
      </w:tabs>
      <w:outlineLvl w:val="3"/>
    </w:pPr>
  </w:style>
  <w:style w:type="paragraph" w:styleId="1213">
    <w:name w:val="??"/>
    <w:next w:val="1213"/>
    <w:link w:val="1070"/>
    <w:qFormat/>
    <w:pPr>
      <w:jc w:val="both"/>
      <w:widowControl w:val="off"/>
    </w:pPr>
    <w:rPr>
      <w:sz w:val="21"/>
      <w:lang w:val="en-US" w:eastAsia="en-US" w:bidi="ar-SA"/>
    </w:rPr>
  </w:style>
  <w:style w:type="paragraph" w:styleId="1214">
    <w:name w:val="样式 标题 2 + 宋体 五号 行距: 单倍行距"/>
    <w:basedOn w:val="1072"/>
    <w:next w:val="1214"/>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5">
    <w:name w:val="List Paragraph1"/>
    <w:basedOn w:val="1070"/>
    <w:next w:val="1215"/>
    <w:link w:val="1070"/>
    <w:qFormat/>
    <w:pPr>
      <w:ind w:firstLine="420"/>
    </w:pPr>
    <w:rPr>
      <w:rFonts w:ascii="Calibri" w:hAnsi="Calibri"/>
      <w:szCs w:val="22"/>
    </w:rPr>
  </w:style>
  <w:style w:type="paragraph" w:styleId="1216">
    <w:name w:val="项目符号1"/>
    <w:basedOn w:val="1217"/>
    <w:next w:val="1216"/>
    <w:link w:val="1070"/>
    <w:qFormat/>
    <w:pPr>
      <w:ind w:left="-25" w:firstLine="0"/>
    </w:pPr>
  </w:style>
  <w:style w:type="paragraph" w:styleId="1217">
    <w:name w:val="正文文本样式"/>
    <w:basedOn w:val="1070"/>
    <w:next w:val="1217"/>
    <w:link w:val="1070"/>
    <w:qFormat/>
    <w:pPr>
      <w:ind w:firstLine="482"/>
      <w:spacing w:line="360" w:lineRule="auto"/>
    </w:pPr>
    <w:rPr>
      <w:rFonts w:cs="宋体"/>
      <w:sz w:val="24"/>
      <w:szCs w:val="20"/>
    </w:rPr>
  </w:style>
  <w:style w:type="paragraph" w:styleId="1218">
    <w:name w:val="xl27"/>
    <w:basedOn w:val="1070"/>
    <w:next w:val="121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font5"/>
    <w:basedOn w:val="1070"/>
    <w:next w:val="1219"/>
    <w:link w:val="1070"/>
    <w:qFormat/>
    <w:pPr>
      <w:jc w:val="left"/>
      <w:spacing w:before="100" w:beforeAutospacing="1" w:after="100" w:afterAutospacing="1"/>
      <w:widowControl/>
    </w:pPr>
    <w:rPr>
      <w:rFonts w:ascii="宋体" w:hAnsi="宋体" w:cs="宋体"/>
      <w:sz w:val="18"/>
      <w:szCs w:val="18"/>
    </w:rPr>
  </w:style>
  <w:style w:type="paragraph" w:styleId="1220">
    <w:name w:val="五级条标题"/>
    <w:basedOn w:val="1211"/>
    <w:next w:val="1070"/>
    <w:link w:val="1070"/>
    <w:qFormat/>
    <w:pPr>
      <w:numPr>
        <w:ilvl w:val="5"/>
      </w:numPr>
      <w:ind w:left="0" w:hanging="840"/>
      <w:tabs>
        <w:tab w:val="left" w:pos="360" w:leader="none"/>
        <w:tab w:val="left" w:pos="840" w:leader="none"/>
      </w:tabs>
      <w:outlineLvl w:val="5"/>
    </w:pPr>
  </w:style>
  <w:style w:type="paragraph" w:styleId="1221">
    <w:name w:val="xl49"/>
    <w:basedOn w:val="1070"/>
    <w:next w:val="122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2">
    <w:name w:val="文档正文"/>
    <w:basedOn w:val="1070"/>
    <w:next w:val="1222"/>
    <w:link w:val="1070"/>
    <w:qFormat/>
    <w:pPr>
      <w:spacing w:before="120" w:after="120" w:line="180" w:lineRule="auto"/>
    </w:pPr>
    <w:rPr>
      <w:rFonts w:ascii="Arial" w:hAnsi="Arial"/>
      <w:szCs w:val="20"/>
    </w:rPr>
  </w:style>
  <w:style w:type="paragraph" w:styleId="1223">
    <w:name w:val="xl33"/>
    <w:basedOn w:val="1070"/>
    <w:next w:val="122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xl42"/>
    <w:basedOn w:val="1070"/>
    <w:next w:val="122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5">
    <w:name w:val="Char Char Char1 Char"/>
    <w:basedOn w:val="1070"/>
    <w:next w:val="1225"/>
    <w:link w:val="1070"/>
    <w:qFormat/>
    <w:rPr>
      <w:rFonts w:ascii="Tahoma" w:hAnsi="Tahoma"/>
      <w:sz w:val="24"/>
      <w:szCs w:val="20"/>
    </w:rPr>
  </w:style>
  <w:style w:type="paragraph" w:styleId="1226">
    <w:name w:val="xl44"/>
    <w:basedOn w:val="1070"/>
    <w:next w:val="1226"/>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7">
    <w:name w:val="1名"/>
    <w:basedOn w:val="1070"/>
    <w:next w:val="1227"/>
    <w:link w:val="1070"/>
    <w:qFormat/>
    <w:pPr>
      <w:numPr>
        <w:ilvl w:val="0"/>
        <w:numId w:val="5"/>
      </w:numPr>
      <w:spacing w:before="120"/>
      <w:tabs>
        <w:tab w:val="left" w:pos="360" w:leader="none"/>
      </w:tabs>
    </w:pPr>
    <w:rPr>
      <w:rFonts w:ascii="宋体"/>
      <w:sz w:val="28"/>
      <w:szCs w:val="20"/>
    </w:rPr>
  </w:style>
  <w:style w:type="paragraph" w:styleId="1228">
    <w:name w:val="font9"/>
    <w:basedOn w:val="1070"/>
    <w:next w:val="1228"/>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9">
    <w:name w:val="Char Char Char1 Char1"/>
    <w:basedOn w:val="1070"/>
    <w:next w:val="1229"/>
    <w:link w:val="1070"/>
    <w:qFormat/>
    <w:rPr>
      <w:rFonts w:ascii="Tahoma" w:hAnsi="Tahoma"/>
      <w:sz w:val="24"/>
      <w:szCs w:val="20"/>
    </w:rPr>
  </w:style>
  <w:style w:type="paragraph" w:styleId="1230">
    <w:name w:val="Char Char Char Char Char Char Char Char Char Char"/>
    <w:basedOn w:val="1070"/>
    <w:next w:val="1230"/>
    <w:link w:val="1070"/>
    <w:qFormat/>
  </w:style>
  <w:style w:type="paragraph" w:styleId="1231">
    <w:name w:val="Char Char1 Char Char Char Char Char Char Char Char"/>
    <w:basedOn w:val="1070"/>
    <w:next w:val="1231"/>
    <w:link w:val="1070"/>
    <w:qFormat/>
    <w:pPr>
      <w:jc w:val="left"/>
      <w:spacing w:after="160" w:line="240" w:lineRule="exact"/>
      <w:widowControl/>
    </w:pPr>
    <w:rPr>
      <w:rFonts w:ascii="Verdana" w:hAnsi="Verdana"/>
      <w:sz w:val="20"/>
      <w:szCs w:val="20"/>
      <w:lang w:eastAsia="en-US"/>
    </w:rPr>
  </w:style>
  <w:style w:type="paragraph" w:styleId="1232">
    <w:name w:val="Char1"/>
    <w:basedOn w:val="1070"/>
    <w:next w:val="1232"/>
    <w:link w:val="1070"/>
    <w:qFormat/>
    <w:pPr>
      <w:tabs>
        <w:tab w:val="left" w:pos="360" w:leader="none"/>
      </w:tabs>
    </w:pPr>
    <w:rPr>
      <w:sz w:val="24"/>
    </w:rPr>
  </w:style>
  <w:style w:type="paragraph" w:styleId="1233">
    <w:name w:val="正文列项_字母"/>
    <w:basedOn w:val="1070"/>
    <w:next w:val="1233"/>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4">
    <w:name w:val="xl28"/>
    <w:basedOn w:val="1070"/>
    <w:next w:val="123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7"/>
    <w:basedOn w:val="1070"/>
    <w:next w:val="1235"/>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默认段落字体 Para Char Char Char Char"/>
    <w:basedOn w:val="1070"/>
    <w:next w:val="1236"/>
    <w:link w:val="1070"/>
    <w:qFormat/>
    <w:rPr>
      <w:rFonts w:ascii="Arial" w:hAnsi="Arial" w:cs="Arial"/>
      <w:szCs w:val="21"/>
    </w:rPr>
  </w:style>
  <w:style w:type="paragraph" w:styleId="1237">
    <w:name w:val="xl48"/>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name w:val="xl31"/>
    <w:basedOn w:val="1070"/>
    <w:next w:val="1238"/>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name w:val="xl53"/>
    <w:basedOn w:val="1070"/>
    <w:next w:val="1239"/>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Char Char Char"/>
    <w:basedOn w:val="1070"/>
    <w:next w:val="1240"/>
    <w:link w:val="1070"/>
    <w:qFormat/>
    <w:rPr>
      <w:rFonts w:ascii="Tahoma" w:hAnsi="Tahoma"/>
      <w:sz w:val="24"/>
      <w:szCs w:val="20"/>
    </w:rPr>
  </w:style>
  <w:style w:type="paragraph" w:styleId="1241">
    <w:name w:val="xl50"/>
    <w:basedOn w:val="1070"/>
    <w:next w:val="1241"/>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2">
    <w:name w:val="缺省文本"/>
    <w:basedOn w:val="1070"/>
    <w:next w:val="1242"/>
    <w:link w:val="1070"/>
    <w:qFormat/>
    <w:pPr>
      <w:jc w:val="left"/>
    </w:pPr>
    <w:rPr>
      <w:sz w:val="24"/>
    </w:rPr>
  </w:style>
  <w:style w:type="paragraph" w:styleId="1243">
    <w:name w:val="Char Char Char1"/>
    <w:basedOn w:val="1070"/>
    <w:next w:val="1243"/>
    <w:link w:val="1070"/>
    <w:qFormat/>
    <w:rPr>
      <w:rFonts w:ascii="Tahoma" w:hAnsi="Tahoma"/>
      <w:sz w:val="24"/>
      <w:szCs w:val="20"/>
    </w:rPr>
  </w:style>
  <w:style w:type="paragraph" w:styleId="1244">
    <w:name w:val="Char Char Char Char Char Char Char1"/>
    <w:basedOn w:val="1070"/>
    <w:next w:val="1244"/>
    <w:link w:val="1070"/>
    <w:qFormat/>
    <w:pPr>
      <w:ind w:firstLine="200"/>
      <w:spacing w:line="360" w:lineRule="auto"/>
    </w:pPr>
    <w:rPr>
      <w:rFonts w:eastAsia="仿宋_GB2312"/>
      <w:sz w:val="24"/>
    </w:rPr>
  </w:style>
  <w:style w:type="paragraph" w:styleId="1245">
    <w:name w:val="xl51"/>
    <w:basedOn w:val="1070"/>
    <w:next w:val="124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样式2"/>
    <w:basedOn w:val="1133"/>
    <w:next w:val="1246"/>
    <w:link w:val="1070"/>
    <w:qFormat/>
    <w:pPr>
      <w:jc w:val="center"/>
      <w:spacing w:line="360" w:lineRule="auto"/>
    </w:pPr>
    <w:rPr>
      <w:sz w:val="24"/>
    </w:rPr>
  </w:style>
  <w:style w:type="paragraph" w:styleId="1247">
    <w:name w:val="xl24"/>
    <w:basedOn w:val="1070"/>
    <w:next w:val="124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xl29"/>
    <w:basedOn w:val="1070"/>
    <w:next w:val="124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9">
    <w:name w:val="正文 + 楷体_GB2312"/>
    <w:basedOn w:val="1070"/>
    <w:next w:val="1249"/>
    <w:link w:val="1070"/>
    <w:qFormat/>
    <w:pPr>
      <w:jc w:val="left"/>
      <w:widowControl/>
    </w:pPr>
    <w:rPr>
      <w:rFonts w:ascii="楷体_GB2312" w:eastAsia="楷体_GB2312" w:cs="Arial"/>
      <w:sz w:val="24"/>
    </w:rPr>
  </w:style>
  <w:style w:type="paragraph" w:styleId="1250">
    <w:name w:val="xl34"/>
    <w:basedOn w:val="1070"/>
    <w:next w:val="125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1">
    <w:name w:val="1 Char Char Char Char"/>
    <w:basedOn w:val="1070"/>
    <w:next w:val="1251"/>
    <w:link w:val="1070"/>
    <w:qFormat/>
    <w:rPr>
      <w:rFonts w:ascii="Tahoma" w:hAnsi="Tahoma"/>
      <w:sz w:val="24"/>
      <w:szCs w:val="20"/>
    </w:rPr>
  </w:style>
  <w:style w:type="paragraph" w:styleId="1252">
    <w:name w:val="Default"/>
    <w:next w:val="1252"/>
    <w:link w:val="1070"/>
    <w:qFormat/>
    <w:pPr>
      <w:widowControl w:val="off"/>
    </w:pPr>
    <w:rPr>
      <w:rFonts w:ascii="Symbol" w:hAnsi="Symbol" w:cs="Symbol"/>
      <w:color w:val="000000"/>
      <w:sz w:val="24"/>
      <w:szCs w:val="24"/>
      <w:lang w:val="en-US" w:eastAsia="zh-CN" w:bidi="ar-SA"/>
    </w:rPr>
  </w:style>
  <w:style w:type="paragraph" w:styleId="1253">
    <w:name w:val="列出段落1"/>
    <w:basedOn w:val="1070"/>
    <w:next w:val="1253"/>
    <w:link w:val="1070"/>
    <w:qFormat/>
    <w:pPr>
      <w:ind w:firstLine="420"/>
    </w:pPr>
    <w:rPr>
      <w:rFonts w:ascii="Calibri" w:hAnsi="Calibri"/>
      <w:szCs w:val="22"/>
    </w:rPr>
  </w:style>
  <w:style w:type="paragraph" w:styleId="1254">
    <w:name w:val="default"/>
    <w:basedOn w:val="1070"/>
    <w:next w:val="1254"/>
    <w:link w:val="1070"/>
    <w:qFormat/>
    <w:pPr>
      <w:jc w:val="left"/>
      <w:spacing w:before="100" w:beforeAutospacing="1" w:after="100" w:afterAutospacing="1"/>
      <w:widowControl/>
    </w:pPr>
    <w:rPr>
      <w:rFonts w:ascii="宋体" w:hAnsi="宋体" w:cs="宋体"/>
      <w:sz w:val="24"/>
    </w:rPr>
  </w:style>
  <w:style w:type="paragraph" w:styleId="1255">
    <w:name w:val="字元 字元1"/>
    <w:basedOn w:val="1070"/>
    <w:next w:val="1255"/>
    <w:link w:val="1070"/>
    <w:qFormat/>
    <w:rPr>
      <w:rFonts w:ascii="Tahoma" w:hAnsi="Tahoma"/>
      <w:sz w:val="24"/>
      <w:szCs w:val="20"/>
    </w:rPr>
  </w:style>
  <w:style w:type="paragraph" w:styleId="1256">
    <w:name w:val="_Style 160"/>
    <w:next w:val="1256"/>
    <w:link w:val="1070"/>
    <w:qFormat/>
    <w:rPr>
      <w:sz w:val="21"/>
      <w:szCs w:val="24"/>
      <w:lang w:val="en-US" w:eastAsia="zh-CN" w:bidi="ar-SA"/>
    </w:rPr>
  </w:style>
  <w:style w:type="paragraph" w:styleId="1257">
    <w:name w:val="项目编号3"/>
    <w:basedOn w:val="1217"/>
    <w:next w:val="1257"/>
    <w:link w:val="1070"/>
    <w:qFormat/>
    <w:pPr>
      <w:numPr>
        <w:ilvl w:val="0"/>
        <w:numId w:val="6"/>
      </w:numPr>
    </w:pPr>
  </w:style>
  <w:style w:type="paragraph" w:styleId="1258">
    <w:name w:val="Char21"/>
    <w:basedOn w:val="1070"/>
    <w:next w:val="1258"/>
    <w:link w:val="1070"/>
    <w:qFormat/>
    <w:rPr>
      <w:rFonts w:ascii="Tahoma" w:hAnsi="Tahoma"/>
      <w:sz w:val="24"/>
      <w:szCs w:val="20"/>
    </w:rPr>
  </w:style>
  <w:style w:type="paragraph" w:styleId="1259">
    <w:name w:val="表格文字"/>
    <w:basedOn w:val="1103"/>
    <w:next w:val="1259"/>
    <w:link w:val="1070"/>
    <w:qFormat/>
    <w:pPr>
      <w:ind w:firstLine="0"/>
      <w:spacing w:before="20" w:after="20" w:line="240" w:lineRule="auto"/>
    </w:pPr>
    <w:rPr>
      <w:rFonts w:ascii="Century Gothic" w:hAnsi="Century Gothic"/>
      <w:sz w:val="20"/>
      <w:szCs w:val="20"/>
    </w:rPr>
  </w:style>
  <w:style w:type="paragraph" w:styleId="1260">
    <w:name w:val="Char Char Char Char Char Char Char Char Char Char1"/>
    <w:basedOn w:val="1070"/>
    <w:next w:val="1260"/>
    <w:link w:val="1070"/>
    <w:qFormat/>
    <w:rPr>
      <w:rFonts w:ascii="宋体" w:hAnsi="宋体" w:cs="Courier New"/>
      <w:sz w:val="32"/>
      <w:szCs w:val="32"/>
    </w:rPr>
  </w:style>
  <w:style w:type="paragraph" w:styleId="1261">
    <w:name w:val="正文文本样式 加粗"/>
    <w:basedOn w:val="1217"/>
    <w:next w:val="1261"/>
    <w:link w:val="1070"/>
    <w:qFormat/>
    <w:rPr>
      <w:b/>
    </w:rPr>
  </w:style>
  <w:style w:type="paragraph" w:styleId="1262">
    <w:name w:val="Char2 Char Char Char Char Char Char"/>
    <w:basedOn w:val="1070"/>
    <w:next w:val="1262"/>
    <w:link w:val="1070"/>
    <w:qFormat/>
    <w:pPr>
      <w:jc w:val="center"/>
      <w:spacing w:line="400" w:lineRule="exact"/>
      <w:widowControl/>
    </w:pPr>
  </w:style>
  <w:style w:type="paragraph" w:styleId="1263">
    <w:name w:val="Char Char4"/>
    <w:basedOn w:val="1070"/>
    <w:next w:val="1263"/>
    <w:link w:val="1070"/>
    <w:qFormat/>
    <w:pPr>
      <w:jc w:val="center"/>
      <w:spacing w:line="400" w:lineRule="exact"/>
      <w:widowControl/>
    </w:pPr>
  </w:style>
  <w:style w:type="paragraph" w:styleId="1264">
    <w:name w:val="Char3 Char Char Char1"/>
    <w:basedOn w:val="1070"/>
    <w:next w:val="1264"/>
    <w:link w:val="1070"/>
    <w:qFormat/>
    <w:rPr>
      <w:rFonts w:ascii="Tahoma" w:hAnsi="Tahoma"/>
      <w:sz w:val="24"/>
      <w:szCs w:val="20"/>
    </w:rPr>
  </w:style>
  <w:style w:type="paragraph" w:styleId="1265">
    <w:name w:val="无间隔"/>
    <w:next w:val="1265"/>
    <w:link w:val="1070"/>
    <w:qFormat/>
    <w:pPr>
      <w:jc w:val="both"/>
      <w:widowControl w:val="off"/>
    </w:pPr>
    <w:rPr>
      <w:sz w:val="21"/>
      <w:szCs w:val="24"/>
      <w:lang w:val="en-US" w:eastAsia="zh-CN" w:bidi="ar-SA"/>
    </w:rPr>
  </w:style>
  <w:style w:type="paragraph" w:styleId="1266">
    <w:name w:val="22222222222222"/>
    <w:basedOn w:val="1070"/>
    <w:next w:val="1266"/>
    <w:link w:val="1070"/>
    <w:qFormat/>
    <w:pPr>
      <w:ind w:firstLine="480"/>
      <w:jc w:val="left"/>
      <w:spacing w:line="360" w:lineRule="auto"/>
      <w:widowControl/>
    </w:pPr>
    <w:rPr>
      <w:color w:val="ff0000"/>
      <w:sz w:val="24"/>
      <w:szCs w:val="20"/>
    </w:rPr>
  </w:style>
  <w:style w:type="character" w:styleId="1267">
    <w:name w:val="中等深浅网格 1 - 强调文字颜色 2 Char"/>
    <w:next w:val="1267"/>
    <w:link w:val="1268"/>
    <w:qFormat/>
    <w:rPr>
      <w:sz w:val="21"/>
      <w:szCs w:val="24"/>
      <w:lang w:val="zh-CN" w:eastAsia="zh-CN" w:bidi="ar-SA"/>
    </w:rPr>
  </w:style>
  <w:style w:type="paragraph" w:styleId="1268">
    <w:name w:val="1"/>
    <w:next w:val="1268"/>
    <w:link w:val="1267"/>
    <w:qFormat/>
    <w:rPr>
      <w:sz w:val="21"/>
      <w:szCs w:val="24"/>
      <w:lang w:val="zh-CN" w:eastAsia="zh-CN" w:bidi="ar-SA"/>
    </w:rPr>
  </w:style>
  <w:style w:type="paragraph" w:styleId="1269">
    <w:name w:val="图文"/>
    <w:basedOn w:val="1070"/>
    <w:next w:val="1269"/>
    <w:link w:val="1070"/>
    <w:qFormat/>
    <w:pPr>
      <w:spacing w:after="50" w:line="360" w:lineRule="auto"/>
    </w:pPr>
    <w:rPr>
      <w:sz w:val="24"/>
    </w:rPr>
  </w:style>
  <w:style w:type="paragraph" w:styleId="1270">
    <w:name w:val="xl23"/>
    <w:basedOn w:val="1070"/>
    <w:next w:val="1270"/>
    <w:link w:val="1070"/>
    <w:qFormat/>
    <w:pPr>
      <w:spacing w:before="100" w:beforeAutospacing="1" w:after="100" w:afterAutospacing="1" w:line="360" w:lineRule="auto"/>
      <w:widowControl/>
    </w:pPr>
    <w:rPr>
      <w:sz w:val="24"/>
      <w:szCs w:val="20"/>
    </w:rPr>
  </w:style>
  <w:style w:type="paragraph" w:styleId="1271">
    <w:name w:val="正文表格"/>
    <w:basedOn w:val="1070"/>
    <w:next w:val="1271"/>
    <w:link w:val="1272"/>
    <w:qFormat/>
    <w:pPr>
      <w:jc w:val="left"/>
    </w:pPr>
    <w:rPr>
      <w:rFonts w:ascii="宋体" w:hAnsi="宋体"/>
      <w:color w:val="000000"/>
      <w:szCs w:val="21"/>
    </w:rPr>
  </w:style>
  <w:style w:type="character" w:styleId="1272">
    <w:name w:val="正文表格 Char"/>
    <w:next w:val="1272"/>
    <w:link w:val="1271"/>
    <w:qFormat/>
    <w:rPr>
      <w:rFonts w:ascii="宋体" w:hAnsi="宋体"/>
      <w:color w:val="000000"/>
      <w:sz w:val="21"/>
      <w:szCs w:val="21"/>
    </w:rPr>
  </w:style>
  <w:style w:type="paragraph" w:styleId="1273">
    <w:name w:val="正文重点"/>
    <w:basedOn w:val="1070"/>
    <w:next w:val="1273"/>
    <w:link w:val="1274"/>
    <w:qFormat/>
    <w:pPr>
      <w:ind w:firstLine="482"/>
      <w:jc w:val="left"/>
      <w:spacing w:line="360" w:lineRule="auto"/>
    </w:pPr>
    <w:rPr>
      <w:b/>
      <w:sz w:val="24"/>
      <w:szCs w:val="20"/>
    </w:rPr>
  </w:style>
  <w:style w:type="character" w:styleId="1274">
    <w:name w:val="正文重点 Char"/>
    <w:next w:val="1274"/>
    <w:link w:val="1273"/>
    <w:qFormat/>
    <w:rPr>
      <w:b/>
      <w:sz w:val="24"/>
    </w:rPr>
  </w:style>
  <w:style w:type="paragraph" w:styleId="1275">
    <w:name w:val="标题1-附件"/>
    <w:basedOn w:val="1071"/>
    <w:next w:val="1275"/>
    <w:link w:val="1070"/>
    <w:qFormat/>
    <w:pPr>
      <w:jc w:val="left"/>
    </w:pPr>
    <w:rPr>
      <w:sz w:val="24"/>
      <w:szCs w:val="24"/>
    </w:rPr>
  </w:style>
  <w:style w:type="paragraph" w:styleId="1276">
    <w:name w:val="正文小标题"/>
    <w:basedOn w:val="1070"/>
    <w:next w:val="1092"/>
    <w:link w:val="1277"/>
    <w:qFormat/>
    <w:pPr>
      <w:ind w:firstLine="482"/>
      <w:jc w:val="left"/>
      <w:spacing w:before="312" w:after="312"/>
    </w:pPr>
    <w:rPr>
      <w:rFonts w:ascii="宋体" w:hAnsi="宋体"/>
      <w:b/>
      <w:i/>
      <w:color w:val="ff0000"/>
      <w:sz w:val="24"/>
      <w:szCs w:val="20"/>
    </w:rPr>
  </w:style>
  <w:style w:type="character" w:styleId="1277">
    <w:name w:val="正文小标题 Char"/>
    <w:next w:val="1277"/>
    <w:link w:val="1276"/>
    <w:qFormat/>
    <w:rPr>
      <w:rFonts w:ascii="宋体" w:hAnsi="宋体"/>
      <w:b/>
      <w:i/>
      <w:color w:val="ff0000"/>
      <w:sz w:val="24"/>
    </w:rPr>
  </w:style>
  <w:style w:type="paragraph" w:styleId="1278">
    <w:name w:val="正文大标题"/>
    <w:basedOn w:val="1276"/>
    <w:next w:val="1092"/>
    <w:link w:val="1279"/>
    <w:qFormat/>
    <w:pPr>
      <w:jc w:val="center"/>
    </w:pPr>
    <w:rPr>
      <w:i w:val="0"/>
      <w:color w:val="000000"/>
      <w:sz w:val="28"/>
      <w:szCs w:val="21"/>
    </w:rPr>
  </w:style>
  <w:style w:type="character" w:styleId="1279">
    <w:name w:val="正文大标题 Char"/>
    <w:next w:val="1279"/>
    <w:link w:val="1278"/>
    <w:qFormat/>
    <w:rPr>
      <w:rFonts w:ascii="宋体" w:hAnsi="宋体"/>
      <w:b/>
      <w:color w:val="000000"/>
      <w:sz w:val="28"/>
      <w:szCs w:val="21"/>
    </w:rPr>
  </w:style>
  <w:style w:type="paragraph" w:styleId="1280">
    <w:name w:val="注释"/>
    <w:basedOn w:val="1070"/>
    <w:next w:val="1280"/>
    <w:link w:val="1281"/>
    <w:qFormat/>
    <w:pPr>
      <w:ind w:left="420" w:hanging="420"/>
      <w:jc w:val="left"/>
    </w:pPr>
    <w:rPr>
      <w:rFonts w:ascii="宋体" w:hAnsi="宋体"/>
      <w:szCs w:val="21"/>
    </w:rPr>
  </w:style>
  <w:style w:type="character" w:styleId="1281">
    <w:name w:val="注释 Char"/>
    <w:next w:val="1281"/>
    <w:link w:val="1280"/>
    <w:qFormat/>
    <w:rPr>
      <w:rFonts w:ascii="宋体" w:hAnsi="宋体"/>
      <w:sz w:val="21"/>
      <w:szCs w:val="21"/>
    </w:rPr>
  </w:style>
  <w:style w:type="paragraph" w:styleId="1282">
    <w:name w:val="正文须知-1级"/>
    <w:basedOn w:val="1070"/>
    <w:next w:val="1070"/>
    <w:link w:val="1070"/>
    <w:qFormat/>
    <w:pPr>
      <w:numPr>
        <w:ilvl w:val="0"/>
        <w:numId w:val="7"/>
      </w:numPr>
      <w:spacing w:line="300" w:lineRule="auto"/>
    </w:pPr>
    <w:rPr>
      <w:rFonts w:ascii="宋体" w:hAnsi="Calibri"/>
      <w:sz w:val="24"/>
      <w:szCs w:val="21"/>
    </w:rPr>
  </w:style>
  <w:style w:type="paragraph" w:styleId="1283">
    <w:name w:val="正文须知-2级"/>
    <w:basedOn w:val="1070"/>
    <w:next w:val="1283"/>
    <w:link w:val="1070"/>
    <w:qFormat/>
    <w:pPr>
      <w:numPr>
        <w:ilvl w:val="1"/>
        <w:numId w:val="7"/>
      </w:numPr>
      <w:spacing w:line="300" w:lineRule="auto"/>
    </w:pPr>
    <w:rPr>
      <w:rFonts w:ascii="宋体" w:hAnsi="Calibri"/>
      <w:sz w:val="24"/>
      <w:szCs w:val="21"/>
    </w:rPr>
  </w:style>
  <w:style w:type="paragraph" w:styleId="1284">
    <w:name w:val="正文须知-3级"/>
    <w:basedOn w:val="1070"/>
    <w:next w:val="1284"/>
    <w:link w:val="1070"/>
    <w:qFormat/>
    <w:pPr>
      <w:numPr>
        <w:ilvl w:val="2"/>
        <w:numId w:val="7"/>
      </w:numPr>
      <w:ind w:hanging="355"/>
      <w:spacing w:line="300" w:lineRule="auto"/>
    </w:pPr>
    <w:rPr>
      <w:rFonts w:ascii="宋体" w:hAnsi="Calibri"/>
      <w:sz w:val="24"/>
      <w:szCs w:val="21"/>
    </w:rPr>
  </w:style>
  <w:style w:type="character" w:styleId="1285">
    <w:name w:val="纯文本 字符"/>
    <w:next w:val="1285"/>
    <w:link w:val="1070"/>
    <w:uiPriority w:val="99"/>
    <w:qFormat/>
    <w:rPr>
      <w:rFonts w:ascii="宋体" w:hAnsi="Courier New" w:eastAsia="宋体" w:cs="Times New Roman"/>
      <w:sz w:val="21"/>
      <w:szCs w:val="21"/>
      <w:lang w:val="en-US" w:eastAsia="zh-CN" w:bidi="ar-SA"/>
    </w:rPr>
  </w:style>
  <w:style w:type="paragraph" w:styleId="1286">
    <w:name w:val="表格1"/>
    <w:basedOn w:val="1070"/>
    <w:next w:val="1286"/>
    <w:link w:val="1070"/>
    <w:qFormat/>
    <w:pPr>
      <w:ind w:firstLine="480"/>
      <w:jc w:val="center"/>
    </w:pPr>
    <w:rPr>
      <w:sz w:val="24"/>
      <w:szCs w:val="20"/>
    </w:rPr>
  </w:style>
  <w:style w:type="character" w:styleId="1287">
    <w:name w:val="纯文本 字符1"/>
    <w:next w:val="1287"/>
    <w:link w:val="1070"/>
    <w:qFormat/>
    <w:rPr>
      <w:rFonts w:ascii="宋体" w:hAnsi="Courier New"/>
    </w:rPr>
  </w:style>
  <w:style w:type="character" w:styleId="1288">
    <w:name w:val="bjh-p"/>
    <w:next w:val="1288"/>
    <w:link w:val="1070"/>
    <w:qFormat/>
  </w:style>
  <w:style w:type="paragraph" w:styleId="1289">
    <w:name w:val="无标题条"/>
    <w:next w:val="1070"/>
    <w:link w:val="1070"/>
    <w:qFormat/>
    <w:pPr>
      <w:jc w:val="both"/>
    </w:pPr>
    <w:rPr>
      <w:sz w:val="21"/>
      <w:lang w:val="en-US" w:eastAsia="zh-CN" w:bidi="ar-SA"/>
    </w:rPr>
  </w:style>
  <w:style w:type="character" w:styleId="1290">
    <w:name w:val="正文格式 Char"/>
    <w:next w:val="1290"/>
    <w:link w:val="1291"/>
    <w:qFormat/>
    <w:rPr>
      <w:rFonts w:ascii="宋体" w:hAnsi="宋体"/>
      <w:sz w:val="24"/>
      <w:szCs w:val="24"/>
      <w:lang w:val="en-GB"/>
    </w:rPr>
  </w:style>
  <w:style w:type="paragraph" w:styleId="1291">
    <w:name w:val="正文格式"/>
    <w:basedOn w:val="1070"/>
    <w:next w:val="1291"/>
    <w:link w:val="1290"/>
    <w:qFormat/>
    <w:pPr>
      <w:ind w:firstLine="480"/>
      <w:spacing w:line="360" w:lineRule="auto"/>
    </w:pPr>
    <w:rPr>
      <w:rFonts w:ascii="宋体" w:hAnsi="宋体"/>
      <w:sz w:val="24"/>
      <w:lang w:val="en-GB"/>
    </w:rPr>
  </w:style>
  <w:style w:type="character" w:styleId="1292">
    <w:name w:val="标题 3 Char"/>
    <w:next w:val="1292"/>
    <w:link w:val="1070"/>
    <w:qFormat/>
    <w:rPr>
      <w:rFonts w:ascii="宋体" w:eastAsia="宋体"/>
      <w:b/>
      <w:sz w:val="24"/>
      <w:u w:val="single"/>
      <w:lang w:val="en-US" w:eastAsia="zh-CN" w:bidi="ar-SA"/>
    </w:rPr>
  </w:style>
  <w:style w:type="character" w:styleId="1293">
    <w:name w:val="正文缩进 Char"/>
    <w:next w:val="1293"/>
    <w:link w:val="1070"/>
    <w:qFormat/>
    <w:rPr>
      <w:rFonts w:ascii="宋体" w:eastAsia="宋体"/>
      <w:sz w:val="24"/>
      <w:szCs w:val="24"/>
      <w:lang w:val="en-US" w:eastAsia="zh-CN" w:bidi="ar-SA"/>
    </w:rPr>
  </w:style>
  <w:style w:type="character" w:styleId="1294">
    <w:name w:val="Char Char111"/>
    <w:next w:val="1294"/>
    <w:link w:val="1070"/>
    <w:qFormat/>
    <w:rPr>
      <w:rFonts w:ascii="宋体" w:eastAsia="宋体"/>
      <w:b/>
      <w:sz w:val="24"/>
      <w:u w:val="single"/>
      <w:lang w:val="en-US" w:eastAsia="zh-CN" w:bidi="ar-SA"/>
    </w:rPr>
  </w:style>
  <w:style w:type="character" w:styleId="1295">
    <w:name w:val="正文文本缩进 Char"/>
    <w:next w:val="1295"/>
    <w:link w:val="1070"/>
    <w:qFormat/>
    <w:rPr>
      <w:rFonts w:eastAsia="宋体"/>
      <w:sz w:val="24"/>
      <w:szCs w:val="24"/>
      <w:lang w:val="en-US" w:eastAsia="zh-CN" w:bidi="ar-SA"/>
    </w:rPr>
  </w:style>
  <w:style w:type="character" w:styleId="1296">
    <w:name w:val="列出段落 Char"/>
    <w:next w:val="1296"/>
    <w:link w:val="1070"/>
    <w:qFormat/>
    <w:rPr>
      <w:rFonts w:ascii="Calibri" w:hAnsi="Calibri" w:eastAsia="宋体"/>
      <w:sz w:val="21"/>
      <w:szCs w:val="22"/>
      <w:lang w:val="en-US" w:eastAsia="zh-CN" w:bidi="ar-SA"/>
    </w:rPr>
  </w:style>
  <w:style w:type="character" w:styleId="1297">
    <w:name w:val="页眉 Char"/>
    <w:next w:val="1297"/>
    <w:link w:val="1070"/>
    <w:qFormat/>
    <w:rPr>
      <w:rFonts w:eastAsia="宋体"/>
      <w:sz w:val="18"/>
      <w:szCs w:val="18"/>
      <w:lang w:val="en-US" w:eastAsia="zh-CN" w:bidi="ar-SA"/>
    </w:rPr>
  </w:style>
  <w:style w:type="character" w:styleId="1298">
    <w:name w:val="标题 2 Char"/>
    <w:next w:val="1298"/>
    <w:link w:val="1070"/>
    <w:qFormat/>
    <w:rPr>
      <w:rFonts w:ascii="Arial" w:hAnsi="Arial" w:eastAsia="黑体"/>
      <w:b/>
      <w:sz w:val="30"/>
      <w:lang w:val="en-US" w:eastAsia="zh-CN" w:bidi="ar-SA"/>
    </w:rPr>
  </w:style>
  <w:style w:type="paragraph" w:styleId="1299">
    <w:name w:val="字元 字元2"/>
    <w:basedOn w:val="1070"/>
    <w:next w:val="1299"/>
    <w:link w:val="1070"/>
    <w:qFormat/>
    <w:rPr>
      <w:rFonts w:ascii="Tahoma" w:hAnsi="Tahoma"/>
      <w:sz w:val="24"/>
      <w:szCs w:val="20"/>
    </w:rPr>
  </w:style>
  <w:style w:type="paragraph" w:styleId="1300">
    <w:name w:val="Char3 Char Char Char2"/>
    <w:basedOn w:val="1070"/>
    <w:next w:val="1300"/>
    <w:link w:val="1070"/>
    <w:qFormat/>
    <w:rPr>
      <w:rFonts w:ascii="Tahoma" w:hAnsi="Tahoma"/>
      <w:sz w:val="24"/>
      <w:szCs w:val="20"/>
    </w:rPr>
  </w:style>
  <w:style w:type="paragraph" w:styleId="1301">
    <w:name w:val="正文文本缩进2"/>
    <w:basedOn w:val="1070"/>
    <w:next w:val="1301"/>
    <w:link w:val="1070"/>
    <w:qFormat/>
    <w:pPr>
      <w:ind w:firstLine="480"/>
      <w:spacing w:line="480" w:lineRule="exact"/>
    </w:pPr>
    <w:rPr>
      <w:rFonts w:ascii="宋体" w:hAnsi="宋体"/>
      <w:sz w:val="24"/>
      <w:lang w:val="zh-CN" w:eastAsia="zh-CN"/>
    </w:rPr>
  </w:style>
  <w:style w:type="paragraph" w:styleId="1302">
    <w:name w:val="Char3"/>
    <w:basedOn w:val="1070"/>
    <w:next w:val="1302"/>
    <w:link w:val="1070"/>
    <w:qFormat/>
    <w:pPr>
      <w:tabs>
        <w:tab w:val="left" w:pos="360" w:leader="none"/>
      </w:tabs>
    </w:pPr>
    <w:rPr>
      <w:sz w:val="24"/>
    </w:rPr>
  </w:style>
  <w:style w:type="paragraph" w:styleId="1303">
    <w:name w:val="Char Char Char Char Char Char Char Char Char Char Char Char Char Char Char Char1"/>
    <w:basedOn w:val="1070"/>
    <w:next w:val="1303"/>
    <w:link w:val="1070"/>
    <w:qFormat/>
    <w:pPr>
      <w:jc w:val="center"/>
      <w:spacing w:after="160" w:line="240" w:lineRule="exact"/>
      <w:widowControl/>
    </w:pPr>
    <w:rPr>
      <w:rFonts w:ascii="宋体" w:hAnsi="宋体"/>
      <w:b/>
      <w:sz w:val="30"/>
      <w:szCs w:val="30"/>
      <w:lang w:eastAsia="en-US"/>
    </w:rPr>
  </w:style>
  <w:style w:type="paragraph" w:styleId="1304">
    <w:name w:val="Char Char1 Char Char Char Char Char Char1"/>
    <w:basedOn w:val="1070"/>
    <w:next w:val="1304"/>
    <w:link w:val="1070"/>
    <w:qFormat/>
    <w:pPr>
      <w:jc w:val="left"/>
      <w:spacing w:after="160" w:line="240" w:lineRule="exact"/>
      <w:widowControl/>
    </w:pPr>
    <w:rPr>
      <w:rFonts w:ascii="Verdana" w:hAnsi="Verdana" w:eastAsia="仿宋_GB2312"/>
      <w:sz w:val="24"/>
      <w:szCs w:val="20"/>
      <w:lang w:eastAsia="en-US"/>
    </w:rPr>
  </w:style>
  <w:style w:type="paragraph" w:styleId="1305">
    <w:name w:val="列出段落2"/>
    <w:basedOn w:val="1070"/>
    <w:next w:val="1305"/>
    <w:link w:val="1070"/>
    <w:qFormat/>
    <w:pPr>
      <w:ind w:firstLine="420"/>
    </w:pPr>
    <w:rPr>
      <w:rFonts w:ascii="Calibri" w:hAnsi="Calibri"/>
      <w:szCs w:val="22"/>
    </w:rPr>
  </w:style>
  <w:style w:type="paragraph" w:styleId="1306">
    <w:name w:val="Char Char Char1 Char2"/>
    <w:basedOn w:val="1070"/>
    <w:next w:val="1306"/>
    <w:link w:val="1070"/>
    <w:qFormat/>
    <w:rPr>
      <w:rFonts w:ascii="Tahoma" w:hAnsi="Tahoma"/>
      <w:sz w:val="24"/>
      <w:szCs w:val="20"/>
    </w:rPr>
  </w:style>
  <w:style w:type="paragraph" w:styleId="1307">
    <w:name w:val="Char Char Char2"/>
    <w:basedOn w:val="1070"/>
    <w:next w:val="1307"/>
    <w:link w:val="1070"/>
    <w:qFormat/>
    <w:rPr>
      <w:rFonts w:ascii="Tahoma" w:hAnsi="Tahoma"/>
      <w:sz w:val="24"/>
      <w:szCs w:val="20"/>
    </w:rPr>
  </w:style>
  <w:style w:type="paragraph" w:styleId="1308">
    <w:name w:val="Char Char Char Char Char Char Char2"/>
    <w:basedOn w:val="1070"/>
    <w:next w:val="1308"/>
    <w:link w:val="1070"/>
    <w:qFormat/>
    <w:pPr>
      <w:ind w:firstLine="200"/>
      <w:spacing w:line="360" w:lineRule="auto"/>
    </w:pPr>
    <w:rPr>
      <w:rFonts w:eastAsia="仿宋_GB2312"/>
      <w:sz w:val="24"/>
    </w:rPr>
  </w:style>
  <w:style w:type="paragraph" w:styleId="1309">
    <w:name w:val="正文缩进2"/>
    <w:basedOn w:val="1070"/>
    <w:next w:val="1309"/>
    <w:link w:val="1070"/>
    <w:qFormat/>
    <w:pPr>
      <w:ind w:firstLine="567"/>
      <w:spacing w:line="480" w:lineRule="exact"/>
      <w:widowControl/>
    </w:pPr>
    <w:rPr>
      <w:rFonts w:ascii="宋体"/>
      <w:color w:val="000000"/>
      <w:sz w:val="28"/>
      <w:szCs w:val="20"/>
      <w:lang w:val="zh-CN" w:eastAsia="zh-CN"/>
    </w:rPr>
  </w:style>
  <w:style w:type="paragraph" w:styleId="1310">
    <w:name w:val="Revision"/>
    <w:next w:val="1310"/>
    <w:link w:val="1070"/>
    <w:qFormat/>
    <w:rPr>
      <w:sz w:val="21"/>
      <w:szCs w:val="24"/>
      <w:lang w:val="en-US" w:eastAsia="zh-CN" w:bidi="ar-SA"/>
    </w:rPr>
  </w:style>
  <w:style w:type="paragraph" w:styleId="1311">
    <w:name w:val="Char22"/>
    <w:basedOn w:val="1070"/>
    <w:next w:val="1311"/>
    <w:link w:val="1070"/>
    <w:qFormat/>
    <w:rPr>
      <w:rFonts w:ascii="Tahoma" w:hAnsi="Tahoma"/>
      <w:sz w:val="24"/>
      <w:szCs w:val="20"/>
    </w:rPr>
  </w:style>
  <w:style w:type="paragraph" w:styleId="1312">
    <w:name w:val="Char Char Char Char Char Char Char Char Char Char2"/>
    <w:basedOn w:val="1070"/>
    <w:next w:val="1312"/>
    <w:link w:val="1070"/>
    <w:qFormat/>
    <w:rPr>
      <w:rFonts w:ascii="宋体" w:hAnsi="宋体" w:cs="Courier New"/>
      <w:sz w:val="32"/>
      <w:szCs w:val="32"/>
    </w:rPr>
  </w:style>
  <w:style w:type="paragraph" w:styleId="1313">
    <w:name w:val="Char2 Char Char Char Char Char Char1"/>
    <w:basedOn w:val="1070"/>
    <w:next w:val="1313"/>
    <w:link w:val="1070"/>
    <w:qFormat/>
    <w:pPr>
      <w:jc w:val="center"/>
      <w:spacing w:line="400" w:lineRule="exact"/>
      <w:widowControl/>
    </w:pPr>
  </w:style>
  <w:style w:type="character" w:styleId="1314">
    <w:name w:val="页脚 Char"/>
    <w:next w:val="1314"/>
    <w:link w:val="1070"/>
    <w:qFormat/>
    <w:rPr>
      <w:rFonts w:ascii="宋体" w:eastAsia="宋体"/>
      <w:sz w:val="18"/>
      <w:lang w:val="en-US" w:eastAsia="zh-CN" w:bidi="ar-SA"/>
    </w:rPr>
  </w:style>
  <w:style w:type="paragraph" w:styleId="1315">
    <w:name w:val="Char Char41"/>
    <w:basedOn w:val="1070"/>
    <w:next w:val="1315"/>
    <w:link w:val="1070"/>
    <w:qFormat/>
    <w:pPr>
      <w:jc w:val="center"/>
      <w:spacing w:line="400" w:lineRule="exact"/>
      <w:widowControl/>
    </w:pPr>
  </w:style>
  <w:style w:type="character" w:styleId="1316">
    <w:name w:val="批注文字 Char"/>
    <w:next w:val="1316"/>
    <w:link w:val="1070"/>
    <w:uiPriority w:val="99"/>
    <w:qFormat/>
    <w:rPr>
      <w:sz w:val="21"/>
      <w:szCs w:val="24"/>
    </w:rPr>
  </w:style>
  <w:style w:type="character" w:styleId="1317">
    <w:name w:val="标题 Char"/>
    <w:next w:val="1317"/>
    <w:link w:val="1070"/>
    <w:qFormat/>
    <w:rPr>
      <w:b/>
      <w:sz w:val="32"/>
    </w:rPr>
  </w:style>
  <w:style w:type="paragraph" w:styleId="1318">
    <w:name w:val="图例"/>
    <w:basedOn w:val="1070"/>
    <w:next w:val="1318"/>
    <w:link w:val="1070"/>
    <w:qFormat/>
    <w:pPr>
      <w:jc w:val="center"/>
      <w:spacing w:before="120" w:after="120" w:line="360" w:lineRule="auto"/>
    </w:pPr>
    <w:rPr>
      <w:rFonts w:eastAsia="仿宋_GB2312"/>
      <w:b/>
      <w:sz w:val="24"/>
      <w:szCs w:val="20"/>
    </w:rPr>
  </w:style>
  <w:style w:type="paragraph" w:styleId="1319">
    <w:name w:val="Table Paragraph"/>
    <w:basedOn w:val="1070"/>
    <w:next w:val="1319"/>
    <w:link w:val="1070"/>
    <w:uiPriority w:val="1"/>
    <w:qFormat/>
    <w:pPr>
      <w:jc w:val="left"/>
    </w:pPr>
    <w:rPr>
      <w:rFonts w:ascii="宋体" w:hAnsi="宋体" w:cs="宋体"/>
      <w:sz w:val="22"/>
      <w:szCs w:val="22"/>
      <w:lang w:eastAsia="en-US"/>
    </w:rPr>
  </w:style>
  <w:style w:type="table" w:styleId="1320">
    <w:name w:val="Table Normal"/>
    <w:next w:val="1320"/>
    <w:link w:val="1070"/>
    <w:uiPriority w:val="2"/>
    <w:semiHidden/>
    <w:qFormat/>
    <w:pPr>
      <w:widowControl w:val="off"/>
    </w:pPr>
    <w:rPr>
      <w:rFonts w:ascii="Calibri" w:hAnsi="Calibri"/>
      <w:sz w:val="22"/>
      <w:szCs w:val="22"/>
      <w:lang w:val="en-US" w:eastAsia="en-US" w:bidi="ar-SA"/>
    </w:rPr>
    <w:tblPr/>
  </w:style>
  <w:style w:type="paragraph" w:styleId="1321">
    <w:name w:val="成文日期"/>
    <w:basedOn w:val="1070"/>
    <w:next w:val="1321"/>
    <w:link w:val="1322"/>
    <w:qFormat/>
    <w:pPr>
      <w:ind w:right="400" w:firstLine="200"/>
      <w:jc w:val="right"/>
      <w:spacing w:line="570" w:lineRule="exact"/>
    </w:pPr>
    <w:rPr>
      <w:rFonts w:ascii="仿宋_GB2312" w:eastAsia="仿宋_GB2312"/>
      <w:sz w:val="32"/>
      <w:szCs w:val="20"/>
    </w:rPr>
  </w:style>
  <w:style w:type="character" w:styleId="1322">
    <w:name w:val="成文日期 Char"/>
    <w:next w:val="1322"/>
    <w:link w:val="1321"/>
    <w:rPr>
      <w:rFonts w:ascii="仿宋_GB2312" w:eastAsia="仿宋_GB2312"/>
      <w:sz w:val="32"/>
    </w:rPr>
  </w:style>
  <w:style w:type="paragraph" w:styleId="1323">
    <w:name w:val="☆ 正文"/>
    <w:basedOn w:val="1070"/>
    <w:next w:val="1323"/>
    <w:link w:val="1070"/>
    <w:qFormat/>
    <w:rPr>
      <w:szCs w:val="22"/>
    </w:rPr>
  </w:style>
  <w:style w:type="character" w:styleId="1324">
    <w:name w:val="标题 3 字符"/>
    <w:next w:val="1324"/>
    <w:link w:val="1070"/>
    <w:rPr>
      <w:rFonts w:ascii="Times New Roman" w:hAnsi="Times New Roman" w:cs="Times New Roman"/>
      <w:b/>
      <w:bCs/>
      <w:sz w:val="32"/>
      <w:szCs w:val="32"/>
    </w:rPr>
  </w:style>
  <w:style w:type="paragraph" w:styleId="1325">
    <w:name w:val="p"/>
    <w:basedOn w:val="1070"/>
    <w:next w:val="1325"/>
    <w:link w:val="1070"/>
    <w:qFormat/>
    <w:pPr>
      <w:spacing w:before="100" w:beforeAutospacing="1" w:after="100" w:afterAutospacing="1"/>
      <w:widowControl/>
    </w:pPr>
    <w:rPr>
      <w:sz w:val="24"/>
      <w:szCs w:val="24"/>
      <w:lang w:eastAsia="zh-CN"/>
    </w:rPr>
  </w:style>
  <w:style w:type="paragraph" w:styleId="1326">
    <w:name w:val="段"/>
    <w:next w:val="1070"/>
    <w:link w:val="1070"/>
    <w:qFormat/>
    <w:pPr>
      <w:ind w:firstLine="200"/>
      <w:jc w:val="both"/>
      <w:spacing w:line="360" w:lineRule="auto"/>
    </w:pPr>
    <w:rPr>
      <w:rFonts w:ascii="宋体"/>
      <w:sz w:val="24"/>
      <w:szCs w:val="22"/>
      <w:lang w:val="en-US" w:eastAsia="zh-CN" w:bidi="ar-SA"/>
    </w:rPr>
  </w:style>
  <w:style w:type="paragraph" w:styleId="1327">
    <w:name w:val="标题 31"/>
    <w:basedOn w:val="1070"/>
    <w:next w:val="1070"/>
    <w:link w:val="1070"/>
    <w:qFormat/>
    <w:pPr>
      <w:jc w:val="left"/>
      <w:keepLines/>
      <w:keepNext/>
      <w:spacing w:before="360" w:after="120"/>
      <w:outlineLvl w:val="2"/>
    </w:pPr>
    <w:rPr>
      <w:rFonts w:ascii="宋体"/>
      <w:b/>
      <w:sz w:val="24"/>
      <w:szCs w:val="20"/>
      <w:u w:val="single"/>
    </w:rPr>
  </w:style>
  <w:style w:type="paragraph" w:styleId="1328">
    <w:name w:val="标题 21"/>
    <w:basedOn w:val="1070"/>
    <w:next w:val="1070"/>
    <w:link w:val="1070"/>
    <w:qFormat/>
    <w:pPr>
      <w:jc w:val="center"/>
      <w:keepLines/>
      <w:keepNext/>
      <w:spacing w:before="120" w:line="300" w:lineRule="auto"/>
      <w:outlineLvl w:val="1"/>
    </w:pPr>
    <w:rPr>
      <w:rFonts w:ascii="Arial" w:hAnsi="Arial" w:eastAsia="黑体"/>
      <w:b/>
      <w:sz w:val="30"/>
      <w:szCs w:val="20"/>
    </w:rPr>
  </w:style>
  <w:style w:type="paragraph" w:styleId="1329">
    <w:name w:val="pa-1"/>
    <w:basedOn w:val="1070"/>
    <w:next w:val="1329"/>
    <w:link w:val="1070"/>
    <w:qFormat/>
    <w:pPr>
      <w:jc w:val="left"/>
      <w:spacing w:before="100" w:beforeAutospacing="1" w:after="100" w:afterAutospacing="1"/>
      <w:widowControl/>
    </w:pPr>
    <w:rPr>
      <w:rFonts w:ascii="宋体" w:hAnsi="宋体" w:cs="宋体"/>
      <w:sz w:val="24"/>
    </w:rPr>
  </w:style>
  <w:style w:type="paragraph" w:styleId="1330">
    <w:name w:val="彩色列表1"/>
    <w:basedOn w:val="1070"/>
    <w:next w:val="1330"/>
    <w:link w:val="1070"/>
    <w:uiPriority w:val="34"/>
    <w:qFormat/>
    <w:pPr>
      <w:ind w:firstLine="420"/>
    </w:pPr>
  </w:style>
  <w:style w:type="character" w:styleId="1331">
    <w:name w:val="font01"/>
    <w:next w:val="1331"/>
    <w:link w:val="1070"/>
    <w:rPr>
      <w:rFonts w:hint="eastAsia" w:ascii="宋体" w:hAnsi="宋体" w:eastAsia="宋体" w:cs="宋体"/>
      <w:i w:val="0"/>
      <w:iCs w:val="0"/>
      <w:color w:val="000000"/>
      <w:sz w:val="24"/>
      <w:szCs w:val="24"/>
      <w:u w:val="none"/>
    </w:rPr>
  </w:style>
  <w:style w:type="character" w:styleId="1332">
    <w:name w:val="font21"/>
    <w:next w:val="1332"/>
    <w:link w:val="1070"/>
    <w:rPr>
      <w:rFonts w:ascii="Calibri" w:hAnsi="Calibri" w:cs="Calibri"/>
      <w:i w:val="0"/>
      <w:iCs w:val="0"/>
      <w:color w:val="000000"/>
      <w:sz w:val="24"/>
      <w:szCs w:val="24"/>
      <w:u w:val="none"/>
    </w:rPr>
  </w:style>
  <w:style w:type="paragraph" w:styleId="1333">
    <w:name w:val="Table Text"/>
    <w:basedOn w:val="1070"/>
    <w:next w:val="1333"/>
    <w:link w:val="1070"/>
    <w:semiHidden/>
    <w:qFormat/>
    <w:rPr>
      <w:rFonts w:ascii="宋体" w:hAnsi="宋体" w:eastAsia="宋体" w:cs="宋体"/>
      <w:sz w:val="22"/>
      <w:szCs w:val="22"/>
      <w:lang w:val="en-US" w:eastAsia="en-US" w:bidi="ar-SA"/>
    </w:rPr>
  </w:style>
  <w:style w:type="paragraph" w:styleId="1334">
    <w:name w:val="列出段落5"/>
    <w:basedOn w:val="1070"/>
    <w:next w:val="1334"/>
    <w:link w:val="1070"/>
    <w:qFormat/>
    <w:pPr>
      <w:ind w:firstLine="420"/>
    </w:pPr>
    <w:rPr>
      <w:szCs w:val="24"/>
    </w:rPr>
  </w:style>
  <w:style w:type="character" w:styleId="1335" w:default="1">
    <w:name w:val="Default Paragraph Font"/>
    <w:uiPriority w:val="1"/>
    <w:semiHidden/>
    <w:unhideWhenUsed/>
  </w:style>
  <w:style w:type="numbering" w:styleId="1336" w:default="1">
    <w:name w:val="No List"/>
    <w:uiPriority w:val="99"/>
    <w:semiHidden/>
    <w:unhideWhenUsed/>
  </w:style>
  <w:style w:type="table" w:styleId="1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王蓓蓓</cp:lastModifiedBy>
  <cp:revision>4</cp:revision>
  <dcterms:created xsi:type="dcterms:W3CDTF">2024-07-23T05:50:00Z</dcterms:created>
  <dcterms:modified xsi:type="dcterms:W3CDTF">2025-11-26T01:57:38Z</dcterms:modified>
</cp:coreProperties>
</file>